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12" w:rsidRDefault="003A2812" w:rsidP="000F26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МЕХАНИЗМОВ СЕТЕВОГО ВЗАИМОДЕЙСТВИЯ</w:t>
      </w:r>
    </w:p>
    <w:p w:rsidR="00FC3A01" w:rsidRPr="002D464F" w:rsidRDefault="003A2812" w:rsidP="000F26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ШКОЛА-ВУЗ-ПРОИЗВОДСТВО</w:t>
      </w:r>
    </w:p>
    <w:p w:rsidR="002D464F" w:rsidRDefault="00CE51B7" w:rsidP="000F26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1B7">
        <w:rPr>
          <w:rFonts w:ascii="Times New Roman" w:hAnsi="Times New Roman" w:cs="Times New Roman"/>
          <w:sz w:val="28"/>
          <w:szCs w:val="28"/>
        </w:rPr>
        <w:t xml:space="preserve">Зиятдинова Гузалия </w:t>
      </w:r>
      <w:r>
        <w:rPr>
          <w:rFonts w:ascii="Times New Roman" w:hAnsi="Times New Roman" w:cs="Times New Roman"/>
          <w:sz w:val="28"/>
          <w:szCs w:val="28"/>
        </w:rPr>
        <w:t>Инсафовна, директор; Садыкова Гульнар Шарифзяновна, заместитель директора по УР, к.п.н. (</w:t>
      </w:r>
      <w:hyperlink r:id="rId4" w:history="1">
        <w:r w:rsidRPr="00DE2F3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Litsey</w:t>
        </w:r>
        <w:r w:rsidRPr="00DE2F37">
          <w:rPr>
            <w:rStyle w:val="a9"/>
            <w:rFonts w:ascii="Times New Roman" w:hAnsi="Times New Roman" w:cs="Times New Roman"/>
            <w:sz w:val="24"/>
            <w:szCs w:val="24"/>
          </w:rPr>
          <w:t>35</w:t>
        </w:r>
        <w:r w:rsidRPr="00DE2F3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E2F37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Pr="00DE2F3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kamsk</w:t>
        </w:r>
        <w:r w:rsidRPr="00DE2F37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DE2F3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E2F37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E2F3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CE51B7" w:rsidRPr="00CE51B7" w:rsidRDefault="00CE51B7" w:rsidP="000F26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«Лицей №35» Нижнекамского муниципального района Республики Татарстан (МБОУ «Лицей №35» НМР 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D464F" w:rsidRPr="00CE51B7" w:rsidRDefault="002D464F" w:rsidP="000F26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1B7">
        <w:rPr>
          <w:rFonts w:ascii="Times New Roman" w:hAnsi="Times New Roman" w:cs="Times New Roman"/>
          <w:sz w:val="28"/>
          <w:szCs w:val="28"/>
        </w:rPr>
        <w:tab/>
        <w:t xml:space="preserve">В условиях рыночной экономики жизнеспособными оказываются только  конкурентоспособные образовательные учреждения, обеспечивающие устойчивый уровень качества образовательных услуг, психологический комфорт и безопасность ребенка, что создает предпосылки для работы школы над личным стилем и имиджем. </w:t>
      </w:r>
    </w:p>
    <w:p w:rsidR="002D464F" w:rsidRDefault="002D464F" w:rsidP="000F26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лицей</w:t>
      </w:r>
      <w:r w:rsidR="002119C8">
        <w:rPr>
          <w:rFonts w:ascii="Times New Roman" w:hAnsi="Times New Roman" w:cs="Times New Roman"/>
          <w:sz w:val="28"/>
          <w:szCs w:val="28"/>
        </w:rPr>
        <w:t xml:space="preserve"> №35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свою конкурентоспособность? </w:t>
      </w:r>
    </w:p>
    <w:p w:rsidR="002D464F" w:rsidRDefault="002119C8" w:rsidP="000F26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«Лицей №35»</w:t>
      </w:r>
      <w:r w:rsidR="003A2812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  <w:r w:rsidR="002D464F">
        <w:rPr>
          <w:rFonts w:ascii="Times New Roman" w:hAnsi="Times New Roman" w:cs="Times New Roman"/>
          <w:sz w:val="28"/>
          <w:szCs w:val="28"/>
        </w:rPr>
        <w:t xml:space="preserve">, являясь школой естественнонаучного направления, два года назад обозначил свою миссию – «С командой единомышленников к новому качеству образования». </w:t>
      </w:r>
    </w:p>
    <w:p w:rsidR="002D464F" w:rsidRDefault="002D464F" w:rsidP="000F26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профильного обучения расширилась. Обучение сегодня реализуется по четырем направлениям: физико-математическому, химико-биологическому, физико-химическому и социально-экономическому. </w:t>
      </w:r>
    </w:p>
    <w:p w:rsidR="002D464F" w:rsidRDefault="002D464F" w:rsidP="000F26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Лицей смог успешно вписаться в три образовательных кластера: </w:t>
      </w:r>
      <w:r>
        <w:rPr>
          <w:rFonts w:ascii="Times New Roman" w:hAnsi="Times New Roman" w:cs="Times New Roman"/>
          <w:i/>
          <w:sz w:val="28"/>
          <w:szCs w:val="28"/>
        </w:rPr>
        <w:t>нефтехимический,</w:t>
      </w:r>
      <w:r>
        <w:rPr>
          <w:rFonts w:ascii="Times New Roman" w:hAnsi="Times New Roman" w:cs="Times New Roman"/>
          <w:sz w:val="28"/>
          <w:szCs w:val="28"/>
        </w:rPr>
        <w:t xml:space="preserve"> состоящий из тандема Лицей – НХТИ и головной вуз –</w:t>
      </w:r>
      <w:r w:rsidR="0086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КНИТУ -  Научно-технологический центр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Нижнекамскнефтехим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 2 кластер - </w:t>
      </w:r>
      <w:r>
        <w:rPr>
          <w:rFonts w:ascii="Times New Roman" w:hAnsi="Times New Roman" w:cs="Times New Roman"/>
          <w:i/>
          <w:sz w:val="28"/>
          <w:szCs w:val="28"/>
        </w:rPr>
        <w:t>медицинский</w:t>
      </w:r>
      <w:r>
        <w:rPr>
          <w:rFonts w:ascii="Times New Roman" w:hAnsi="Times New Roman" w:cs="Times New Roman"/>
          <w:sz w:val="28"/>
          <w:szCs w:val="28"/>
        </w:rPr>
        <w:t xml:space="preserve">,  мы успешно сотрудничаем с Медицинским колледжем и многопрофильной больницей – КГМУ; третий кластер – </w:t>
      </w:r>
      <w:r>
        <w:rPr>
          <w:rFonts w:ascii="Times New Roman" w:hAnsi="Times New Roman" w:cs="Times New Roman"/>
          <w:i/>
          <w:sz w:val="28"/>
          <w:szCs w:val="28"/>
        </w:rPr>
        <w:t>информационно-технологический</w:t>
      </w:r>
      <w:r>
        <w:rPr>
          <w:rFonts w:ascii="Times New Roman" w:hAnsi="Times New Roman" w:cs="Times New Roman"/>
          <w:sz w:val="28"/>
          <w:szCs w:val="28"/>
        </w:rPr>
        <w:t xml:space="preserve"> – он сложился с  МУПК  и НХТИ. Расширить сетевое взаимодействие также позволило сотрудничество с эколого-биологическим центром, центром технического творчества, с центром дополнительного образования детей.</w:t>
      </w:r>
      <w:r w:rsidR="00686620">
        <w:rPr>
          <w:rFonts w:ascii="Times New Roman" w:hAnsi="Times New Roman" w:cs="Times New Roman"/>
          <w:sz w:val="28"/>
          <w:szCs w:val="28"/>
        </w:rPr>
        <w:t xml:space="preserve"> </w:t>
      </w:r>
      <w:r w:rsidR="00E13622">
        <w:rPr>
          <w:rFonts w:ascii="Times New Roman" w:hAnsi="Times New Roman" w:cs="Times New Roman"/>
          <w:sz w:val="28"/>
          <w:szCs w:val="28"/>
        </w:rPr>
        <w:t xml:space="preserve">В лицее организована сетевая работа школа-вуз-производство. Учащиеся 11-х классов проходят производственную практику по </w:t>
      </w:r>
      <w:r w:rsidR="00E13622">
        <w:rPr>
          <w:rFonts w:ascii="Times New Roman" w:hAnsi="Times New Roman" w:cs="Times New Roman"/>
          <w:sz w:val="28"/>
          <w:szCs w:val="28"/>
        </w:rPr>
        <w:lastRenderedPageBreak/>
        <w:t>химической технологии на базе Научно-технологического центра ОАО «</w:t>
      </w:r>
      <w:proofErr w:type="spellStart"/>
      <w:r w:rsidR="00E13622">
        <w:rPr>
          <w:rFonts w:ascii="Times New Roman" w:hAnsi="Times New Roman" w:cs="Times New Roman"/>
          <w:sz w:val="28"/>
          <w:szCs w:val="28"/>
        </w:rPr>
        <w:t>Нижнекамскнефтехим</w:t>
      </w:r>
      <w:proofErr w:type="spellEnd"/>
      <w:r w:rsidR="00E13622">
        <w:rPr>
          <w:rFonts w:ascii="Times New Roman" w:hAnsi="Times New Roman" w:cs="Times New Roman"/>
          <w:sz w:val="28"/>
          <w:szCs w:val="28"/>
        </w:rPr>
        <w:t xml:space="preserve">», получают дополнительную специальность </w:t>
      </w:r>
      <w:r w:rsidR="000718B5">
        <w:rPr>
          <w:rFonts w:ascii="Times New Roman" w:hAnsi="Times New Roman" w:cs="Times New Roman"/>
          <w:sz w:val="28"/>
          <w:szCs w:val="28"/>
        </w:rPr>
        <w:t>«Л</w:t>
      </w:r>
      <w:r w:rsidR="00E13622">
        <w:rPr>
          <w:rFonts w:ascii="Times New Roman" w:hAnsi="Times New Roman" w:cs="Times New Roman"/>
          <w:sz w:val="28"/>
          <w:szCs w:val="28"/>
        </w:rPr>
        <w:t>аборант химического анализа</w:t>
      </w:r>
      <w:r w:rsidR="000718B5">
        <w:rPr>
          <w:rFonts w:ascii="Times New Roman" w:hAnsi="Times New Roman" w:cs="Times New Roman"/>
          <w:sz w:val="28"/>
          <w:szCs w:val="28"/>
        </w:rPr>
        <w:t>»</w:t>
      </w:r>
      <w:r w:rsidR="00E13622">
        <w:rPr>
          <w:rFonts w:ascii="Times New Roman" w:hAnsi="Times New Roman" w:cs="Times New Roman"/>
          <w:sz w:val="28"/>
          <w:szCs w:val="28"/>
        </w:rPr>
        <w:t xml:space="preserve">. </w:t>
      </w:r>
      <w:r w:rsidR="005E7006">
        <w:rPr>
          <w:rFonts w:ascii="Times New Roman" w:hAnsi="Times New Roman" w:cs="Times New Roman"/>
          <w:sz w:val="28"/>
          <w:szCs w:val="28"/>
        </w:rPr>
        <w:t xml:space="preserve">На протяжении 10 лет преподаватели </w:t>
      </w:r>
      <w:proofErr w:type="gramStart"/>
      <w:r w:rsidR="005E700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5E7006">
        <w:rPr>
          <w:rFonts w:ascii="Times New Roman" w:hAnsi="Times New Roman" w:cs="Times New Roman"/>
          <w:sz w:val="28"/>
          <w:szCs w:val="28"/>
        </w:rPr>
        <w:t xml:space="preserve">П)ФУ, КНИТУ, КГМУ, </w:t>
      </w:r>
      <w:proofErr w:type="spellStart"/>
      <w:r w:rsidR="005E7006">
        <w:rPr>
          <w:rFonts w:ascii="Times New Roman" w:hAnsi="Times New Roman" w:cs="Times New Roman"/>
          <w:sz w:val="28"/>
          <w:szCs w:val="28"/>
        </w:rPr>
        <w:t>ИЭУиП</w:t>
      </w:r>
      <w:proofErr w:type="spellEnd"/>
      <w:r w:rsidR="005E7006">
        <w:rPr>
          <w:rFonts w:ascii="Times New Roman" w:hAnsi="Times New Roman" w:cs="Times New Roman"/>
          <w:sz w:val="28"/>
          <w:szCs w:val="28"/>
        </w:rPr>
        <w:t xml:space="preserve">  ведут элективные курсы в 10-11 классах; </w:t>
      </w:r>
      <w:r w:rsidR="00DE2D5B">
        <w:rPr>
          <w:rFonts w:ascii="Times New Roman" w:hAnsi="Times New Roman" w:cs="Times New Roman"/>
          <w:sz w:val="28"/>
          <w:szCs w:val="28"/>
        </w:rPr>
        <w:t>организуют</w:t>
      </w:r>
      <w:r w:rsidR="005E7006">
        <w:rPr>
          <w:rFonts w:ascii="Times New Roman" w:hAnsi="Times New Roman" w:cs="Times New Roman"/>
          <w:sz w:val="28"/>
          <w:szCs w:val="28"/>
        </w:rPr>
        <w:t xml:space="preserve"> обучение в профильных лагерях «Костёр», «</w:t>
      </w:r>
      <w:proofErr w:type="spellStart"/>
      <w:r w:rsidR="005E7006">
        <w:rPr>
          <w:rFonts w:ascii="Times New Roman" w:hAnsi="Times New Roman" w:cs="Times New Roman"/>
          <w:sz w:val="28"/>
          <w:szCs w:val="28"/>
        </w:rPr>
        <w:t>Орбиталь</w:t>
      </w:r>
      <w:proofErr w:type="spellEnd"/>
      <w:r w:rsidR="005E7006">
        <w:rPr>
          <w:rFonts w:ascii="Times New Roman" w:hAnsi="Times New Roman" w:cs="Times New Roman"/>
          <w:sz w:val="28"/>
          <w:szCs w:val="28"/>
        </w:rPr>
        <w:t>»; ведут подготовку к п</w:t>
      </w:r>
      <w:r w:rsidR="00A506BE">
        <w:rPr>
          <w:rFonts w:ascii="Times New Roman" w:hAnsi="Times New Roman" w:cs="Times New Roman"/>
          <w:sz w:val="28"/>
          <w:szCs w:val="28"/>
        </w:rPr>
        <w:t>редметным олимпиадам; проводят</w:t>
      </w:r>
      <w:r w:rsidR="005E7006">
        <w:rPr>
          <w:rFonts w:ascii="Times New Roman" w:hAnsi="Times New Roman" w:cs="Times New Roman"/>
          <w:sz w:val="28"/>
          <w:szCs w:val="28"/>
        </w:rPr>
        <w:t xml:space="preserve"> интегрированные уроки с учителями лицея. </w:t>
      </w:r>
    </w:p>
    <w:p w:rsidR="00250E7B" w:rsidRDefault="002D464F" w:rsidP="000F26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концепции профильного обучения лицея на старшей ступени общего образования особое внимание обращается на результаты единого государственного экз</w:t>
      </w:r>
      <w:r w:rsidR="00554F08">
        <w:rPr>
          <w:rFonts w:ascii="Times New Roman" w:hAnsi="Times New Roman" w:cs="Times New Roman"/>
          <w:sz w:val="28"/>
          <w:szCs w:val="28"/>
        </w:rPr>
        <w:t>амена. Так 84 % выпускников 2012-2013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из предметов по выбору сдавали экзамены по профильным дисциплинам, достигнув целевых ориентиров, поставленных Управлением образования НМР. Средний балл по п</w:t>
      </w:r>
      <w:r w:rsidR="00554F08">
        <w:rPr>
          <w:rFonts w:ascii="Times New Roman" w:hAnsi="Times New Roman" w:cs="Times New Roman"/>
          <w:sz w:val="28"/>
          <w:szCs w:val="28"/>
        </w:rPr>
        <w:t>рофильным предметам  составил 79</w:t>
      </w:r>
      <w:r w:rsidR="009F7EFF">
        <w:rPr>
          <w:rFonts w:ascii="Times New Roman" w:hAnsi="Times New Roman" w:cs="Times New Roman"/>
          <w:sz w:val="28"/>
          <w:szCs w:val="28"/>
        </w:rPr>
        <w:t>,6. Восемь лицеистов набрали 100 баллов, причем один ученик  имеет 100 баллов по двум предметам (информатика и физика). Свыше 8</w:t>
      </w:r>
      <w:r w:rsidR="00863480">
        <w:rPr>
          <w:rFonts w:ascii="Times New Roman" w:hAnsi="Times New Roman" w:cs="Times New Roman"/>
          <w:sz w:val="28"/>
          <w:szCs w:val="28"/>
        </w:rPr>
        <w:t>0 баллов набрали 53 учащих</w:t>
      </w:r>
      <w:r w:rsidR="009F7EFF">
        <w:rPr>
          <w:rFonts w:ascii="Times New Roman" w:hAnsi="Times New Roman" w:cs="Times New Roman"/>
          <w:sz w:val="28"/>
          <w:szCs w:val="28"/>
        </w:rPr>
        <w:t>ся – 68,8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D464F" w:rsidRDefault="002D464F" w:rsidP="000F26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Реализуемые профили обучения соответствуют запросам родителей, ожидающих от лицея успешной социализации ребенка, правильного выбора  направления</w:t>
      </w:r>
      <w:r w:rsidR="00F050C8">
        <w:rPr>
          <w:rFonts w:ascii="Times New Roman" w:hAnsi="Times New Roman" w:cs="Times New Roman"/>
          <w:sz w:val="28"/>
          <w:szCs w:val="28"/>
        </w:rPr>
        <w:t xml:space="preserve"> дальнейшего его обучения. Из 77</w:t>
      </w:r>
      <w:r>
        <w:rPr>
          <w:rFonts w:ascii="Times New Roman" w:hAnsi="Times New Roman" w:cs="Times New Roman"/>
          <w:sz w:val="28"/>
          <w:szCs w:val="28"/>
        </w:rPr>
        <w:t xml:space="preserve"> выпускников 28%  поступили на факультеты химии и биохимической технологии; 22% - по профилю физика; 12% - математики и информатики и 11% выбрали медицинские учебные заведения.</w:t>
      </w:r>
    </w:p>
    <w:p w:rsidR="002D464F" w:rsidRDefault="002D464F" w:rsidP="000F26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Профильная школа – это высококвалифицированные кадры. В лицее ра</w:t>
      </w:r>
      <w:r w:rsidR="00CE7480">
        <w:rPr>
          <w:rFonts w:ascii="Times New Roman" w:hAnsi="Times New Roman" w:cs="Times New Roman"/>
          <w:sz w:val="28"/>
          <w:szCs w:val="28"/>
        </w:rPr>
        <w:t>ботают 56 учителей, из которых 9</w:t>
      </w:r>
      <w:r w:rsidR="00EE4EB8">
        <w:rPr>
          <w:rFonts w:ascii="Times New Roman" w:hAnsi="Times New Roman" w:cs="Times New Roman"/>
          <w:sz w:val="28"/>
          <w:szCs w:val="28"/>
        </w:rPr>
        <w:t>8</w:t>
      </w:r>
      <w:r w:rsidR="00CE7480">
        <w:rPr>
          <w:rFonts w:ascii="Times New Roman" w:hAnsi="Times New Roman" w:cs="Times New Roman"/>
          <w:sz w:val="28"/>
          <w:szCs w:val="28"/>
        </w:rPr>
        <w:t>% аттестованы, из них 39</w:t>
      </w:r>
      <w:r>
        <w:rPr>
          <w:rFonts w:ascii="Times New Roman" w:hAnsi="Times New Roman" w:cs="Times New Roman"/>
          <w:sz w:val="28"/>
          <w:szCs w:val="28"/>
        </w:rPr>
        <w:t>%  учителя высше</w:t>
      </w:r>
      <w:r w:rsidR="00CE7480">
        <w:rPr>
          <w:rFonts w:ascii="Times New Roman" w:hAnsi="Times New Roman" w:cs="Times New Roman"/>
          <w:sz w:val="28"/>
          <w:szCs w:val="28"/>
        </w:rPr>
        <w:t>й категории (22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E74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), 1 кандидат педагогических наук</w:t>
      </w:r>
      <w:r w:rsidR="00F050C8">
        <w:rPr>
          <w:rFonts w:ascii="Times New Roman" w:hAnsi="Times New Roman" w:cs="Times New Roman"/>
          <w:sz w:val="28"/>
          <w:szCs w:val="28"/>
        </w:rPr>
        <w:t xml:space="preserve"> (Садыкова Г.Ш.). </w:t>
      </w:r>
      <w:proofErr w:type="gramStart"/>
      <w:r w:rsidR="00F050C8">
        <w:rPr>
          <w:rFonts w:ascii="Times New Roman" w:hAnsi="Times New Roman" w:cs="Times New Roman"/>
          <w:sz w:val="28"/>
          <w:szCs w:val="28"/>
        </w:rPr>
        <w:t>За три года 38</w:t>
      </w:r>
      <w:r>
        <w:rPr>
          <w:rFonts w:ascii="Times New Roman" w:hAnsi="Times New Roman" w:cs="Times New Roman"/>
          <w:sz w:val="28"/>
          <w:szCs w:val="28"/>
        </w:rPr>
        <w:t xml:space="preserve"> учителей названы лучшими учителями Республики, 1– учителем-исследователем.</w:t>
      </w:r>
      <w:r w:rsidR="00294B96">
        <w:rPr>
          <w:rFonts w:ascii="Times New Roman" w:hAnsi="Times New Roman" w:cs="Times New Roman"/>
          <w:sz w:val="28"/>
          <w:szCs w:val="28"/>
        </w:rPr>
        <w:t xml:space="preserve">  11</w:t>
      </w:r>
      <w:r>
        <w:rPr>
          <w:rFonts w:ascii="Times New Roman" w:hAnsi="Times New Roman" w:cs="Times New Roman"/>
          <w:sz w:val="28"/>
          <w:szCs w:val="28"/>
        </w:rPr>
        <w:t xml:space="preserve">  педагогов - победители конкурса лучших учителей РФ.</w:t>
      </w:r>
      <w:r w:rsidR="009C6AD1">
        <w:rPr>
          <w:rFonts w:ascii="Times New Roman" w:hAnsi="Times New Roman" w:cs="Times New Roman"/>
          <w:sz w:val="28"/>
          <w:szCs w:val="28"/>
        </w:rPr>
        <w:t xml:space="preserve"> </w:t>
      </w:r>
      <w:r w:rsidR="00863480">
        <w:rPr>
          <w:rFonts w:ascii="Times New Roman" w:hAnsi="Times New Roman" w:cs="Times New Roman"/>
          <w:sz w:val="28"/>
          <w:szCs w:val="28"/>
        </w:rPr>
        <w:t xml:space="preserve">45 педагогов лицея в прошлом учебном году распространили свой педагогический опыт на муниципальном – международном уровнях. </w:t>
      </w:r>
      <w:proofErr w:type="gramEnd"/>
    </w:p>
    <w:p w:rsidR="002D464F" w:rsidRDefault="002D464F" w:rsidP="000F26D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Успех школы, имидж лицея  определяют и результаты работы с увлеченными, талантливыми детьми. В течение последних пяти лет лицей занимает  1 место в рейтинге школ по результатам участия в предметных </w:t>
      </w:r>
      <w:r>
        <w:rPr>
          <w:sz w:val="28"/>
          <w:szCs w:val="28"/>
        </w:rPr>
        <w:lastRenderedPageBreak/>
        <w:t xml:space="preserve">олимпиадах. По итогам 2013 года 94 лицеиста стали победителями и призерами  141 муниципальной, 9 </w:t>
      </w:r>
      <w:proofErr w:type="gramStart"/>
      <w:r>
        <w:rPr>
          <w:sz w:val="28"/>
          <w:szCs w:val="28"/>
        </w:rPr>
        <w:t>республиканских</w:t>
      </w:r>
      <w:proofErr w:type="gramEnd"/>
      <w:r>
        <w:rPr>
          <w:sz w:val="28"/>
          <w:szCs w:val="28"/>
        </w:rPr>
        <w:t xml:space="preserve"> (биология, экология, физика, обществознание,  технология, татарский язык) и 1 всероссийской  олимпиады (технология).</w:t>
      </w:r>
    </w:p>
    <w:p w:rsidR="002D464F" w:rsidRDefault="002D464F" w:rsidP="000F26D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Команды лицеистов третий год успешно представляют школу на Республиканском конкурсе «Эрудит Татарстана - 2012» (рук.</w:t>
      </w:r>
      <w:proofErr w:type="gramEnd"/>
      <w:r>
        <w:rPr>
          <w:sz w:val="28"/>
          <w:szCs w:val="28"/>
        </w:rPr>
        <w:t xml:space="preserve"> Белоусов В.Н.), уже четвертый год в конкурсе «Слет Школьных </w:t>
      </w:r>
      <w:proofErr w:type="spellStart"/>
      <w:proofErr w:type="gramStart"/>
      <w:r>
        <w:rPr>
          <w:sz w:val="28"/>
          <w:szCs w:val="28"/>
        </w:rPr>
        <w:t>бизнес-компаний</w:t>
      </w:r>
      <w:proofErr w:type="spellEnd"/>
      <w:proofErr w:type="gramEnd"/>
      <w:r>
        <w:rPr>
          <w:sz w:val="28"/>
          <w:szCs w:val="28"/>
        </w:rPr>
        <w:t>» (рук. Ахметзянова О.Е.) и третий год в Республиканском конкурсе «</w:t>
      </w:r>
      <w:proofErr w:type="spellStart"/>
      <w:r>
        <w:rPr>
          <w:sz w:val="28"/>
          <w:szCs w:val="28"/>
        </w:rPr>
        <w:t>Сэ</w:t>
      </w:r>
      <w:r w:rsidR="003C5550">
        <w:rPr>
          <w:sz w:val="28"/>
          <w:szCs w:val="28"/>
        </w:rPr>
        <w:t>лэтле</w:t>
      </w:r>
      <w:proofErr w:type="spellEnd"/>
      <w:r w:rsidR="003C5550">
        <w:rPr>
          <w:sz w:val="28"/>
          <w:szCs w:val="28"/>
        </w:rPr>
        <w:t>».  За три последних года 6</w:t>
      </w:r>
      <w:r>
        <w:rPr>
          <w:sz w:val="28"/>
          <w:szCs w:val="28"/>
        </w:rPr>
        <w:t xml:space="preserve"> лицеистов стали обладателями премий по поддержке талантливой молодежи в рамках Приоритетного национального проекта «Образование».  Труд коллектива высоко оценен администрацией Нижнекамского муниципального района: 45 лицеистов и 25 педагогов чествовались за эти годы  Главой  НМР.</w:t>
      </w:r>
    </w:p>
    <w:p w:rsidR="002D464F" w:rsidRDefault="002D464F" w:rsidP="000F26D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2002 года в лицее работает научное общество учащихся «Эврика». Сегодня в его состав входят 125 учащихся, 79 из них – победители и призеры научных конференций различного уровня. Победа в Республиканском конкурсе  «Школа после уроков» позволит нам расширить масштабную работу в области исследований по профильным предметам. </w:t>
      </w:r>
    </w:p>
    <w:p w:rsidR="002D464F" w:rsidRDefault="002D464F" w:rsidP="000F26D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Таким образом, тот профиль, который был выбран изначально, делает школу открытой, ориентированной на социально-экономический запрос общества.</w:t>
      </w:r>
    </w:p>
    <w:p w:rsidR="00EE4EB8" w:rsidRDefault="00EE4EB8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E4EB8" w:rsidRDefault="00EE4EB8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  <w:sectPr w:rsidR="00EE4EB8" w:rsidSect="000F26D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93A01" w:rsidRPr="00890A42" w:rsidRDefault="004C2A03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Приложение:</w:t>
      </w:r>
    </w:p>
    <w:p w:rsidR="00493A01" w:rsidRPr="00890A42" w:rsidRDefault="00493A01" w:rsidP="000F26D0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0A42">
        <w:rPr>
          <w:rFonts w:ascii="Times New Roman" w:hAnsi="Times New Roman"/>
          <w:b/>
          <w:sz w:val="24"/>
          <w:szCs w:val="24"/>
        </w:rPr>
        <w:t>Средний балл ЕГЭ –77,2 (66,1)</w:t>
      </w:r>
    </w:p>
    <w:p w:rsidR="00493A01" w:rsidRPr="00890A42" w:rsidRDefault="00493A01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93A01" w:rsidRDefault="00493A01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4997" w:rsidRDefault="00C94997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4997" w:rsidRDefault="00C94997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  <w:r w:rsidRPr="00890A42">
        <w:rPr>
          <w:rFonts w:ascii="Times New Roman" w:eastAsia="Calibri" w:hAnsi="Times New Roman"/>
          <w:b/>
          <w:noProof/>
          <w:sz w:val="24"/>
          <w:szCs w:val="24"/>
        </w:rPr>
        <w:drawing>
          <wp:inline distT="0" distB="0" distL="0" distR="0">
            <wp:extent cx="5486400" cy="1971675"/>
            <wp:effectExtent l="0" t="0" r="0" b="0"/>
            <wp:docPr id="2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94997" w:rsidRPr="00890A42" w:rsidRDefault="00C94997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93A01" w:rsidRPr="00890A42" w:rsidRDefault="00493A01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  <w:r w:rsidRPr="00890A42">
        <w:rPr>
          <w:rFonts w:ascii="Times New Roman" w:hAnsi="Times New Roman"/>
          <w:b/>
          <w:sz w:val="24"/>
          <w:szCs w:val="24"/>
        </w:rPr>
        <w:t>Средняя оценка по ГИА в новой форме составляет 4,6 (4,1)</w:t>
      </w:r>
    </w:p>
    <w:p w:rsidR="00493A01" w:rsidRPr="00890A42" w:rsidRDefault="00493A01" w:rsidP="000F26D0">
      <w:pPr>
        <w:pStyle w:val="a6"/>
        <w:spacing w:line="360" w:lineRule="auto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93A01" w:rsidRPr="00890A42" w:rsidRDefault="00493A01" w:rsidP="000F26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A42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6341110" cy="2339340"/>
            <wp:effectExtent l="19050" t="0" r="254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93A01" w:rsidRPr="00890A42" w:rsidSect="000F26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A01"/>
    <w:rsid w:val="000718B5"/>
    <w:rsid w:val="000835E8"/>
    <w:rsid w:val="000F26D0"/>
    <w:rsid w:val="002119C8"/>
    <w:rsid w:val="00250E7B"/>
    <w:rsid w:val="00294B96"/>
    <w:rsid w:val="002D464F"/>
    <w:rsid w:val="003303D3"/>
    <w:rsid w:val="00375165"/>
    <w:rsid w:val="003A2812"/>
    <w:rsid w:val="003C5550"/>
    <w:rsid w:val="00493A01"/>
    <w:rsid w:val="00496E73"/>
    <w:rsid w:val="004C2A03"/>
    <w:rsid w:val="00526A2C"/>
    <w:rsid w:val="00554F08"/>
    <w:rsid w:val="005E7006"/>
    <w:rsid w:val="00686620"/>
    <w:rsid w:val="00863480"/>
    <w:rsid w:val="00890A42"/>
    <w:rsid w:val="009A73DB"/>
    <w:rsid w:val="009C6AD1"/>
    <w:rsid w:val="009F7EFF"/>
    <w:rsid w:val="00A506BE"/>
    <w:rsid w:val="00C94997"/>
    <w:rsid w:val="00CE51B7"/>
    <w:rsid w:val="00CE7480"/>
    <w:rsid w:val="00DE2D5B"/>
    <w:rsid w:val="00E13622"/>
    <w:rsid w:val="00EE4EB8"/>
    <w:rsid w:val="00F050C8"/>
    <w:rsid w:val="00FC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493A01"/>
    <w:pPr>
      <w:tabs>
        <w:tab w:val="left" w:pos="1290"/>
        <w:tab w:val="left" w:pos="633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493A01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493A0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9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A0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E51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hyperlink" Target="mailto:Litsey35n-kamsk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dLbls>
            <c:txPr>
              <a:bodyPr/>
              <a:lstStyle/>
              <a:p>
                <a:pPr>
                  <a:defRPr sz="1093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информатика и ИКТ</c:v>
                </c:pt>
                <c:pt idx="6">
                  <c:v>обществознание</c:v>
                </c:pt>
                <c:pt idx="7">
                  <c:v>история</c:v>
                </c:pt>
                <c:pt idx="8">
                  <c:v>английский язык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71.900000000000006</c:v>
                </c:pt>
                <c:pt idx="1">
                  <c:v>60.8</c:v>
                </c:pt>
                <c:pt idx="2">
                  <c:v>60.5</c:v>
                </c:pt>
                <c:pt idx="3">
                  <c:v>69.099999999999994</c:v>
                </c:pt>
                <c:pt idx="4">
                  <c:v>72.400000000000006</c:v>
                </c:pt>
                <c:pt idx="5">
                  <c:v>74.900000000000006</c:v>
                </c:pt>
                <c:pt idx="6">
                  <c:v>62.3</c:v>
                </c:pt>
                <c:pt idx="7">
                  <c:v>57</c:v>
                </c:pt>
                <c:pt idx="8">
                  <c:v>62.1</c:v>
                </c:pt>
                <c:pt idx="9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</c:v>
                </c:pt>
              </c:strCache>
            </c:strRef>
          </c:tx>
          <c:dLbls>
            <c:dLbl>
              <c:idx val="0"/>
              <c:layout>
                <c:manualLayout>
                  <c:x val="5.9283795731380077E-3"/>
                  <c:y val="-1.1305723865439512E-2"/>
                </c:manualLayout>
              </c:layout>
              <c:showVal val="1"/>
            </c:dLbl>
            <c:dLbl>
              <c:idx val="9"/>
              <c:layout>
                <c:manualLayout>
                  <c:x val="1.6303043826129498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093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информатика и ИКТ</c:v>
                </c:pt>
                <c:pt idx="6">
                  <c:v>обществознание</c:v>
                </c:pt>
                <c:pt idx="7">
                  <c:v>история</c:v>
                </c:pt>
                <c:pt idx="8">
                  <c:v>английский язык</c:v>
                </c:pt>
                <c:pt idx="9">
                  <c:v>литература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74.400000000000006</c:v>
                </c:pt>
                <c:pt idx="1">
                  <c:v>70.099999999999994</c:v>
                </c:pt>
                <c:pt idx="2">
                  <c:v>70.7</c:v>
                </c:pt>
                <c:pt idx="3">
                  <c:v>85</c:v>
                </c:pt>
                <c:pt idx="4">
                  <c:v>82.9</c:v>
                </c:pt>
                <c:pt idx="5">
                  <c:v>85.7</c:v>
                </c:pt>
                <c:pt idx="6">
                  <c:v>73.900000000000006</c:v>
                </c:pt>
                <c:pt idx="7">
                  <c:v>77.3</c:v>
                </c:pt>
                <c:pt idx="8">
                  <c:v>88.7</c:v>
                </c:pt>
                <c:pt idx="9">
                  <c:v>62.8</c:v>
                </c:pt>
              </c:numCache>
            </c:numRef>
          </c:val>
        </c:ser>
        <c:dLbls>
          <c:showVal val="1"/>
        </c:dLbls>
        <c:shape val="cylinder"/>
        <c:axId val="63595648"/>
        <c:axId val="63597568"/>
        <c:axId val="0"/>
      </c:bar3DChart>
      <c:catAx>
        <c:axId val="6359564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93"/>
            </a:pPr>
            <a:endParaRPr lang="ru-RU"/>
          </a:p>
        </c:txPr>
        <c:crossAx val="63597568"/>
        <c:crosses val="autoZero"/>
        <c:auto val="1"/>
        <c:lblAlgn val="ctr"/>
        <c:lblOffset val="100"/>
      </c:catAx>
      <c:valAx>
        <c:axId val="63597568"/>
        <c:scaling>
          <c:orientation val="minMax"/>
        </c:scaling>
        <c:axPos val="l"/>
        <c:numFmt formatCode="General" sourceLinked="1"/>
        <c:tickLblPos val="nextTo"/>
        <c:crossAx val="63595648"/>
        <c:crosses val="autoZero"/>
        <c:crossBetween val="between"/>
      </c:valAx>
      <c:spPr>
        <a:noFill/>
        <a:ln w="23146">
          <a:noFill/>
        </a:ln>
      </c:spPr>
    </c:plotArea>
    <c:legend>
      <c:legendPos val="r"/>
      <c:txPr>
        <a:bodyPr/>
        <a:lstStyle/>
        <a:p>
          <a:pPr>
            <a:defRPr sz="1093"/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4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dLbls>
            <c:txPr>
              <a:bodyPr/>
              <a:lstStyle/>
              <a:p>
                <a:pPr>
                  <a:defRPr sz="1199"/>
                </a:pPr>
                <a:endParaRPr lang="ru-RU"/>
              </a:p>
            </c:txPr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Обществознание</c:v>
                </c:pt>
                <c:pt idx="6">
                  <c:v>Информатика и ИКТ</c:v>
                </c:pt>
                <c:pt idx="7">
                  <c:v>Английский язык</c:v>
                </c:pt>
                <c:pt idx="8">
                  <c:v>География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4.53</c:v>
                </c:pt>
                <c:pt idx="1">
                  <c:v>4.38</c:v>
                </c:pt>
                <c:pt idx="2">
                  <c:v>4.24</c:v>
                </c:pt>
                <c:pt idx="3">
                  <c:v>4.3</c:v>
                </c:pt>
                <c:pt idx="4">
                  <c:v>3.3</c:v>
                </c:pt>
                <c:pt idx="5">
                  <c:v>3.58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</c:v>
                </c:pt>
              </c:strCache>
            </c:strRef>
          </c:tx>
          <c:dLbls>
            <c:dLbl>
              <c:idx val="2"/>
              <c:layout>
                <c:manualLayout>
                  <c:x val="1.1250000553641759E-2"/>
                  <c:y val="-6.5028894334703494E-3"/>
                </c:manualLayout>
              </c:layout>
              <c:showVal val="1"/>
            </c:dLbl>
            <c:dLbl>
              <c:idx val="6"/>
              <c:layout>
                <c:manualLayout>
                  <c:x val="5.5555555555555558E-3"/>
                  <c:y val="2.1876696735928002E-3"/>
                </c:manualLayout>
              </c:layout>
              <c:showVal val="1"/>
            </c:dLbl>
            <c:txPr>
              <a:bodyPr/>
              <a:lstStyle/>
              <a:p>
                <a:pPr>
                  <a:defRPr sz="1199"/>
                </a:pPr>
                <a:endParaRPr lang="ru-RU"/>
              </a:p>
            </c:txPr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Обществознание</c:v>
                </c:pt>
                <c:pt idx="6">
                  <c:v>Информатика и ИКТ</c:v>
                </c:pt>
                <c:pt idx="7">
                  <c:v>Английский язык</c:v>
                </c:pt>
                <c:pt idx="8">
                  <c:v>География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4.2</c:v>
                </c:pt>
                <c:pt idx="1">
                  <c:v>4.7</c:v>
                </c:pt>
                <c:pt idx="2">
                  <c:v>4.4000000000000004</c:v>
                </c:pt>
                <c:pt idx="3">
                  <c:v>4.7</c:v>
                </c:pt>
                <c:pt idx="4">
                  <c:v>4.7</c:v>
                </c:pt>
                <c:pt idx="5">
                  <c:v>4.5</c:v>
                </c:pt>
                <c:pt idx="6">
                  <c:v>4</c:v>
                </c:pt>
                <c:pt idx="7">
                  <c:v>4.9000000000000004</c:v>
                </c:pt>
                <c:pt idx="8">
                  <c:v>5</c:v>
                </c:pt>
              </c:numCache>
            </c:numRef>
          </c:val>
        </c:ser>
        <c:dLbls>
          <c:showVal val="1"/>
        </c:dLbls>
        <c:shape val="cylinder"/>
        <c:axId val="67635072"/>
        <c:axId val="67636608"/>
        <c:axId val="0"/>
      </c:bar3DChart>
      <c:catAx>
        <c:axId val="676350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99"/>
            </a:pPr>
            <a:endParaRPr lang="ru-RU"/>
          </a:p>
        </c:txPr>
        <c:crossAx val="67636608"/>
        <c:crosses val="autoZero"/>
        <c:auto val="1"/>
        <c:lblAlgn val="ctr"/>
        <c:lblOffset val="100"/>
      </c:catAx>
      <c:valAx>
        <c:axId val="67636608"/>
        <c:scaling>
          <c:orientation val="minMax"/>
        </c:scaling>
        <c:axPos val="l"/>
        <c:numFmt formatCode="General" sourceLinked="1"/>
        <c:tickLblPos val="nextTo"/>
        <c:crossAx val="67635072"/>
        <c:crosses val="autoZero"/>
        <c:crossBetween val="between"/>
      </c:valAx>
      <c:spPr>
        <a:noFill/>
        <a:ln w="25387">
          <a:noFill/>
        </a:ln>
      </c:spPr>
    </c:plotArea>
    <c:legend>
      <c:legendPos val="b"/>
      <c:txPr>
        <a:bodyPr/>
        <a:lstStyle/>
        <a:p>
          <a:pPr>
            <a:defRPr sz="1199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799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2013-10-21T05:42:00Z</dcterms:created>
  <dcterms:modified xsi:type="dcterms:W3CDTF">2014-01-30T05:14:00Z</dcterms:modified>
</cp:coreProperties>
</file>