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60" w:rsidRDefault="00516260" w:rsidP="00516260">
      <w:pPr>
        <w:spacing w:after="120"/>
        <w:jc w:val="center"/>
        <w:rPr>
          <w:b/>
          <w:i/>
          <w:sz w:val="32"/>
          <w:szCs w:val="32"/>
          <w:u w:val="single"/>
          <w:lang w:val="en-US"/>
        </w:rPr>
      </w:pPr>
      <w:r w:rsidRPr="001317CD">
        <w:rPr>
          <w:b/>
          <w:i/>
          <w:sz w:val="32"/>
          <w:szCs w:val="32"/>
          <w:u w:val="single"/>
          <w:lang w:val="fr-FR"/>
        </w:rPr>
        <w:t>Arunachala N MadaKannan</w:t>
      </w:r>
    </w:p>
    <w:p w:rsidR="00516260" w:rsidRPr="0082320C" w:rsidRDefault="00516260" w:rsidP="00516260">
      <w:pPr>
        <w:spacing w:before="120" w:after="120"/>
        <w:jc w:val="center"/>
        <w:rPr>
          <w:b/>
          <w:i/>
          <w:sz w:val="32"/>
          <w:szCs w:val="32"/>
          <w:u w:val="single"/>
          <w:lang w:val="en-US"/>
        </w:rPr>
      </w:pPr>
      <w:r w:rsidRPr="0082320C">
        <w:rPr>
          <w:lang w:val="en-US"/>
        </w:rPr>
        <w:t>Arizona State University</w:t>
      </w:r>
    </w:p>
    <w:p w:rsidR="00516260" w:rsidRPr="0082320C" w:rsidRDefault="00516260" w:rsidP="00516260">
      <w:pPr>
        <w:spacing w:after="120"/>
        <w:jc w:val="center"/>
        <w:rPr>
          <w:b/>
          <w:sz w:val="28"/>
          <w:szCs w:val="18"/>
          <w:lang w:val="en-US"/>
        </w:rPr>
      </w:pPr>
      <w:proofErr w:type="spellStart"/>
      <w:r w:rsidRPr="0082320C">
        <w:rPr>
          <w:b/>
          <w:sz w:val="28"/>
          <w:szCs w:val="18"/>
          <w:lang w:val="en-US"/>
        </w:rPr>
        <w:t>Nano</w:t>
      </w:r>
      <w:proofErr w:type="spellEnd"/>
      <w:r w:rsidRPr="0082320C">
        <w:rPr>
          <w:b/>
          <w:sz w:val="28"/>
          <w:szCs w:val="18"/>
          <w:lang w:val="en-US"/>
        </w:rPr>
        <w:t>-enabled catalysts for low temperature Fuel Cells</w:t>
      </w:r>
    </w:p>
    <w:p w:rsidR="00516260" w:rsidRDefault="00516260" w:rsidP="00516260">
      <w:pPr>
        <w:ind w:firstLine="708"/>
        <w:jc w:val="both"/>
        <w:rPr>
          <w:lang w:val="en-US"/>
        </w:rPr>
      </w:pPr>
      <w:r w:rsidRPr="00C17B88">
        <w:rPr>
          <w:lang w:val="en-GB"/>
        </w:rPr>
        <w:t>Fuel cells operating below 100 ºC are very attractive energy conversion technology for autom</w:t>
      </w:r>
      <w:r w:rsidRPr="00C17B88">
        <w:rPr>
          <w:lang w:val="en-GB"/>
        </w:rPr>
        <w:t>o</w:t>
      </w:r>
      <w:r w:rsidRPr="00C17B88">
        <w:rPr>
          <w:lang w:val="en-GB"/>
        </w:rPr>
        <w:t xml:space="preserve">tive applications due to their higher efficiencies and higher peak power density values. </w:t>
      </w:r>
      <w:proofErr w:type="spellStart"/>
      <w:r>
        <w:rPr>
          <w:lang w:val="en-GB"/>
        </w:rPr>
        <w:t>Nan</w:t>
      </w:r>
      <w:r>
        <w:rPr>
          <w:lang w:val="en-GB"/>
        </w:rPr>
        <w:t>o</w:t>
      </w:r>
      <w:r>
        <w:rPr>
          <w:lang w:val="en-GB"/>
        </w:rPr>
        <w:t>catalysts</w:t>
      </w:r>
      <w:proofErr w:type="spellEnd"/>
      <w:r>
        <w:rPr>
          <w:lang w:val="en-GB"/>
        </w:rPr>
        <w:t xml:space="preserve"> for both alkaline and proton exchange membrane fuel cells will be discussed</w:t>
      </w:r>
      <w:r w:rsidRPr="00C17B88">
        <w:rPr>
          <w:lang w:val="en-GB"/>
        </w:rPr>
        <w:t xml:space="preserve"> </w:t>
      </w:r>
      <w:r>
        <w:rPr>
          <w:lang w:val="en-GB"/>
        </w:rPr>
        <w:t xml:space="preserve">in this key note address. </w:t>
      </w:r>
      <w:r w:rsidRPr="00C17B88">
        <w:rPr>
          <w:lang w:val="en-GB"/>
        </w:rPr>
        <w:t xml:space="preserve">In general, the catalyst materials in the low temperature fuel cells are Pt or Pt-transition metal alloys on carbon or multi-walled carbon </w:t>
      </w:r>
      <w:proofErr w:type="spellStart"/>
      <w:r w:rsidRPr="00C17B88">
        <w:rPr>
          <w:lang w:val="en-GB"/>
        </w:rPr>
        <w:t>nanotubes</w:t>
      </w:r>
      <w:proofErr w:type="spellEnd"/>
      <w:r w:rsidRPr="00C17B88">
        <w:rPr>
          <w:lang w:val="en-GB"/>
        </w:rPr>
        <w:t>. In the cost point of view there is a huge interest in developing fuel cell electrodes with non-noble metal catalysts t</w:t>
      </w:r>
      <w:r w:rsidRPr="00C17B88">
        <w:rPr>
          <w:lang w:val="en-GB"/>
        </w:rPr>
        <w:t>o</w:t>
      </w:r>
      <w:r w:rsidRPr="00C17B88">
        <w:rPr>
          <w:lang w:val="en-GB"/>
        </w:rPr>
        <w:t>wards oxygen reduction reaction (ORR).</w:t>
      </w:r>
      <w:r w:rsidRPr="001317CD">
        <w:rPr>
          <w:lang w:val="en-US"/>
        </w:rPr>
        <w:t xml:space="preserve"> Iron </w:t>
      </w:r>
      <w:proofErr w:type="spellStart"/>
      <w:r w:rsidRPr="001317CD">
        <w:rPr>
          <w:lang w:val="en-US"/>
        </w:rPr>
        <w:t>phthalocyanines</w:t>
      </w:r>
      <w:proofErr w:type="spellEnd"/>
      <w:r w:rsidRPr="001317CD">
        <w:rPr>
          <w:lang w:val="en-US"/>
        </w:rPr>
        <w:t xml:space="preserve"> (</w:t>
      </w:r>
      <w:proofErr w:type="spellStart"/>
      <w:proofErr w:type="gramStart"/>
      <w:r w:rsidRPr="001317CD">
        <w:rPr>
          <w:lang w:val="en-US"/>
        </w:rPr>
        <w:t>FePc</w:t>
      </w:r>
      <w:proofErr w:type="spellEnd"/>
      <w:proofErr w:type="gramEnd"/>
      <w:r w:rsidRPr="001317CD">
        <w:rPr>
          <w:lang w:val="en-US"/>
        </w:rPr>
        <w:t xml:space="preserve">), cobalt </w:t>
      </w:r>
      <w:proofErr w:type="spellStart"/>
      <w:r w:rsidRPr="001317CD">
        <w:rPr>
          <w:lang w:val="en-US"/>
        </w:rPr>
        <w:t>phthalocyanines</w:t>
      </w:r>
      <w:proofErr w:type="spellEnd"/>
      <w:r w:rsidRPr="001317CD">
        <w:rPr>
          <w:lang w:val="en-US"/>
        </w:rPr>
        <w:t xml:space="preserve"> (</w:t>
      </w:r>
      <w:proofErr w:type="spellStart"/>
      <w:r w:rsidRPr="001317CD">
        <w:rPr>
          <w:lang w:val="en-US"/>
        </w:rPr>
        <w:t>CoPc</w:t>
      </w:r>
      <w:proofErr w:type="spellEnd"/>
      <w:r w:rsidRPr="001317CD">
        <w:rPr>
          <w:lang w:val="en-US"/>
        </w:rPr>
        <w:t>) and other similar M-N</w:t>
      </w:r>
      <w:r w:rsidRPr="001317CD">
        <w:rPr>
          <w:vertAlign w:val="subscript"/>
          <w:lang w:val="en-US"/>
        </w:rPr>
        <w:t>4</w:t>
      </w:r>
      <w:r w:rsidRPr="001317CD">
        <w:rPr>
          <w:lang w:val="en-US"/>
        </w:rPr>
        <w:t xml:space="preserve">-macrocycles supported on different carbon </w:t>
      </w:r>
      <w:proofErr w:type="spellStart"/>
      <w:r w:rsidRPr="001317CD">
        <w:rPr>
          <w:lang w:val="en-US"/>
        </w:rPr>
        <w:t>nanomaterials</w:t>
      </w:r>
      <w:proofErr w:type="spellEnd"/>
      <w:r w:rsidRPr="001317CD">
        <w:rPr>
          <w:lang w:val="en-US"/>
        </w:rPr>
        <w:t xml:space="preserve"> have attracted much attention towards ORR in alkaline medium since 1960s.</w:t>
      </w:r>
      <w:r w:rsidRPr="00C17B88">
        <w:rPr>
          <w:lang w:val="en-GB"/>
        </w:rPr>
        <w:t xml:space="preserve"> </w:t>
      </w:r>
      <w:r w:rsidRPr="001317CD">
        <w:rPr>
          <w:lang w:val="en-US"/>
        </w:rPr>
        <w:t>The aim of research was to deve</w:t>
      </w:r>
      <w:r w:rsidRPr="001317CD">
        <w:rPr>
          <w:lang w:val="en-US"/>
        </w:rPr>
        <w:t>l</w:t>
      </w:r>
      <w:r w:rsidRPr="001317CD">
        <w:rPr>
          <w:lang w:val="en-US"/>
        </w:rPr>
        <w:t xml:space="preserve">op </w:t>
      </w:r>
      <w:proofErr w:type="spellStart"/>
      <w:r w:rsidRPr="001317CD">
        <w:rPr>
          <w:lang w:val="en-US"/>
        </w:rPr>
        <w:t>FePc</w:t>
      </w:r>
      <w:proofErr w:type="spellEnd"/>
      <w:r w:rsidRPr="001317CD">
        <w:rPr>
          <w:lang w:val="en-US"/>
        </w:rPr>
        <w:t xml:space="preserve">/MWCNT and </w:t>
      </w:r>
      <w:proofErr w:type="spellStart"/>
      <w:r w:rsidRPr="001317CD">
        <w:rPr>
          <w:lang w:val="en-US"/>
        </w:rPr>
        <w:t>CoPc</w:t>
      </w:r>
      <w:proofErr w:type="spellEnd"/>
      <w:r w:rsidRPr="001317CD">
        <w:rPr>
          <w:lang w:val="en-US"/>
        </w:rPr>
        <w:t xml:space="preserve">/MWCNT </w:t>
      </w:r>
      <w:proofErr w:type="spellStart"/>
      <w:r w:rsidRPr="001317CD">
        <w:rPr>
          <w:lang w:val="en-US"/>
        </w:rPr>
        <w:t>electrocatalysts</w:t>
      </w:r>
      <w:proofErr w:type="spellEnd"/>
      <w:r w:rsidRPr="001317CD">
        <w:rPr>
          <w:lang w:val="en-US"/>
        </w:rPr>
        <w:t xml:space="preserve"> as alternative cathode materials to Pt/C in alkaline fuel cell. The fuel cell performance of the </w:t>
      </w:r>
      <w:r w:rsidRPr="001317CD">
        <w:rPr>
          <w:kern w:val="2"/>
          <w:lang w:val="en-US" w:eastAsia="zh-CN"/>
        </w:rPr>
        <w:t>membrane electrode assemblies (</w:t>
      </w:r>
      <w:r w:rsidRPr="001317CD">
        <w:rPr>
          <w:lang w:val="en-US"/>
        </w:rPr>
        <w:t xml:space="preserve">MEA) with Co and Fe </w:t>
      </w:r>
      <w:proofErr w:type="spellStart"/>
      <w:r w:rsidRPr="001317CD">
        <w:rPr>
          <w:lang w:val="en-US"/>
        </w:rPr>
        <w:t>phthalocyanines</w:t>
      </w:r>
      <w:proofErr w:type="spellEnd"/>
      <w:r w:rsidRPr="001317CD">
        <w:rPr>
          <w:lang w:val="en-US"/>
        </w:rPr>
        <w:t xml:space="preserve"> and Tanaka </w:t>
      </w:r>
      <w:proofErr w:type="spellStart"/>
      <w:r w:rsidRPr="001317CD">
        <w:rPr>
          <w:lang w:val="en-US"/>
        </w:rPr>
        <w:t>Kikinzoku</w:t>
      </w:r>
      <w:proofErr w:type="spellEnd"/>
      <w:r w:rsidRPr="001317CD">
        <w:rPr>
          <w:lang w:val="en-US"/>
        </w:rPr>
        <w:t xml:space="preserve"> Kogyo Pt/C cathode catalysts were 100, 60 and 120 </w:t>
      </w:r>
      <w:proofErr w:type="spellStart"/>
      <w:r w:rsidRPr="001317CD">
        <w:rPr>
          <w:lang w:val="en-US"/>
        </w:rPr>
        <w:t>mW</w:t>
      </w:r>
      <w:proofErr w:type="spellEnd"/>
      <w:r w:rsidRPr="001317CD">
        <w:rPr>
          <w:lang w:val="en-US"/>
        </w:rPr>
        <w:t xml:space="preserve"> cm</w:t>
      </w:r>
      <w:r w:rsidRPr="001317CD">
        <w:rPr>
          <w:vertAlign w:val="superscript"/>
          <w:lang w:val="en-US"/>
        </w:rPr>
        <w:t>−2</w:t>
      </w:r>
      <w:r w:rsidRPr="001317CD">
        <w:rPr>
          <w:lang w:val="en-US"/>
        </w:rPr>
        <w:t xml:space="preserve"> using H</w:t>
      </w:r>
      <w:r w:rsidRPr="001317CD">
        <w:rPr>
          <w:vertAlign w:val="subscript"/>
          <w:lang w:val="en-US"/>
        </w:rPr>
        <w:t>2</w:t>
      </w:r>
      <w:r w:rsidRPr="001317CD">
        <w:rPr>
          <w:lang w:val="en-US"/>
        </w:rPr>
        <w:t xml:space="preserve"> and O</w:t>
      </w:r>
      <w:r w:rsidRPr="001317CD">
        <w:rPr>
          <w:vertAlign w:val="subscript"/>
          <w:lang w:val="en-US"/>
        </w:rPr>
        <w:t>2</w:t>
      </w:r>
      <w:r>
        <w:rPr>
          <w:lang w:val="en-US"/>
        </w:rPr>
        <w:t xml:space="preserve"> gases.</w:t>
      </w:r>
    </w:p>
    <w:p w:rsidR="00516260" w:rsidRPr="001317CD" w:rsidRDefault="00516260" w:rsidP="00516260">
      <w:pPr>
        <w:ind w:firstLine="708"/>
        <w:jc w:val="both"/>
        <w:rPr>
          <w:lang w:val="en-US"/>
        </w:rPr>
      </w:pPr>
      <w:r w:rsidRPr="001317CD">
        <w:rPr>
          <w:kern w:val="2"/>
          <w:lang w:val="en-US" w:eastAsia="zh-CN"/>
        </w:rPr>
        <w:t xml:space="preserve">The significantly high platinum loading on MEA for proton exchange membrane fuel cells (PEMFCs) limits the commercial viability.  This research clearly describes the formation of Pt </w:t>
      </w:r>
      <w:proofErr w:type="spellStart"/>
      <w:r w:rsidRPr="001317CD">
        <w:rPr>
          <w:kern w:val="2"/>
          <w:lang w:val="en-US" w:eastAsia="zh-CN"/>
        </w:rPr>
        <w:t>nanoparticles</w:t>
      </w:r>
      <w:proofErr w:type="spellEnd"/>
      <w:r w:rsidRPr="001317CD">
        <w:rPr>
          <w:kern w:val="2"/>
          <w:lang w:val="en-US" w:eastAsia="zh-CN"/>
        </w:rPr>
        <w:t xml:space="preserve"> and characterizing them by electrochemical methods for fuel cell applications. When the Pt catalyst particle size is &lt; 3 nm, the degradation of MEA is increased dramatically, especially towards ORR. Pt </w:t>
      </w:r>
      <w:proofErr w:type="spellStart"/>
      <w:r w:rsidRPr="001317CD">
        <w:rPr>
          <w:kern w:val="2"/>
          <w:lang w:val="en-US" w:eastAsia="zh-CN"/>
        </w:rPr>
        <w:t>nanocatalyst</w:t>
      </w:r>
      <w:proofErr w:type="spellEnd"/>
      <w:r w:rsidRPr="001317CD">
        <w:rPr>
          <w:kern w:val="2"/>
          <w:lang w:val="en-US" w:eastAsia="zh-CN"/>
        </w:rPr>
        <w:t xml:space="preserve"> on MWCNTs) fun</w:t>
      </w:r>
      <w:r w:rsidRPr="001317CD">
        <w:rPr>
          <w:kern w:val="2"/>
          <w:lang w:val="en-US" w:eastAsia="zh-CN"/>
        </w:rPr>
        <w:t>c</w:t>
      </w:r>
      <w:r w:rsidRPr="001317CD">
        <w:rPr>
          <w:kern w:val="2"/>
          <w:lang w:val="en-US" w:eastAsia="zh-CN"/>
        </w:rPr>
        <w:t>tionalized with citric acid (CA) was synthesized by using a two-phase approach to transfer PtCl</w:t>
      </w:r>
      <w:r w:rsidRPr="001317CD">
        <w:rPr>
          <w:kern w:val="2"/>
          <w:vertAlign w:val="subscript"/>
          <w:lang w:val="en-US" w:eastAsia="zh-CN"/>
        </w:rPr>
        <w:t>6</w:t>
      </w:r>
      <w:r w:rsidRPr="001317CD">
        <w:rPr>
          <w:kern w:val="2"/>
          <w:vertAlign w:val="superscript"/>
          <w:lang w:val="en-US" w:eastAsia="zh-CN"/>
        </w:rPr>
        <w:t>2</w:t>
      </w:r>
      <w:r w:rsidRPr="00C17B88">
        <w:rPr>
          <w:kern w:val="2"/>
          <w:vertAlign w:val="superscript"/>
          <w:lang w:eastAsia="zh-CN"/>
        </w:rPr>
        <w:sym w:font="Symbol" w:char="F02D"/>
      </w:r>
      <w:r w:rsidRPr="001317CD">
        <w:rPr>
          <w:kern w:val="2"/>
          <w:lang w:val="en-US" w:eastAsia="zh-CN"/>
        </w:rPr>
        <w:t xml:space="preserve"> from aqueous to organic phase and self-assembly method of Pt-</w:t>
      </w:r>
      <w:proofErr w:type="spellStart"/>
      <w:r w:rsidRPr="001317CD">
        <w:rPr>
          <w:kern w:val="2"/>
          <w:lang w:val="en-US" w:eastAsia="zh-CN"/>
        </w:rPr>
        <w:t>thiol</w:t>
      </w:r>
      <w:proofErr w:type="spellEnd"/>
      <w:r w:rsidRPr="001317CD">
        <w:rPr>
          <w:kern w:val="2"/>
          <w:lang w:val="en-US" w:eastAsia="zh-CN"/>
        </w:rPr>
        <w:t xml:space="preserve"> </w:t>
      </w:r>
      <w:proofErr w:type="spellStart"/>
      <w:r w:rsidRPr="001317CD">
        <w:rPr>
          <w:kern w:val="2"/>
          <w:lang w:val="en-US" w:eastAsia="zh-CN"/>
        </w:rPr>
        <w:t>ligand</w:t>
      </w:r>
      <w:proofErr w:type="spellEnd"/>
      <w:r w:rsidRPr="001317CD">
        <w:rPr>
          <w:kern w:val="2"/>
          <w:lang w:val="en-US" w:eastAsia="zh-CN"/>
        </w:rPr>
        <w:t xml:space="preserve">. Pt/MWCNTs with 3 nm particle size possess high ESA and durable characteristics. Cyclic </w:t>
      </w:r>
      <w:proofErr w:type="spellStart"/>
      <w:r w:rsidRPr="001317CD">
        <w:rPr>
          <w:kern w:val="2"/>
          <w:lang w:val="en-US" w:eastAsia="zh-CN"/>
        </w:rPr>
        <w:t>voltammetry</w:t>
      </w:r>
      <w:proofErr w:type="spellEnd"/>
      <w:r w:rsidRPr="001317CD">
        <w:rPr>
          <w:kern w:val="2"/>
          <w:lang w:val="en-US" w:eastAsia="zh-CN"/>
        </w:rPr>
        <w:t xml:space="preserve"> scan results show the high ESA of Pt/MWCNTs as compared to that of Pt/MWCNTs. As expected, the </w:t>
      </w:r>
      <w:r w:rsidRPr="001317CD">
        <w:rPr>
          <w:rFonts w:eastAsia="SimSun"/>
          <w:color w:val="000000"/>
          <w:kern w:val="2"/>
          <w:szCs w:val="22"/>
          <w:lang w:val="en-US" w:eastAsia="zh-CN"/>
        </w:rPr>
        <w:t>PEMFC performance with Pt/MWCNTs reached a</w:t>
      </w:r>
      <w:r w:rsidRPr="001317CD">
        <w:rPr>
          <w:rFonts w:eastAsia="SimSun" w:hint="eastAsia"/>
          <w:color w:val="000000"/>
          <w:kern w:val="2"/>
          <w:szCs w:val="22"/>
          <w:lang w:val="en-US" w:eastAsia="zh-CN"/>
        </w:rPr>
        <w:t xml:space="preserve"> power density </w:t>
      </w:r>
      <w:r w:rsidRPr="001317CD">
        <w:rPr>
          <w:rFonts w:eastAsia="SimSun"/>
          <w:color w:val="000000"/>
          <w:kern w:val="2"/>
          <w:szCs w:val="22"/>
          <w:lang w:val="en-US" w:eastAsia="zh-CN"/>
        </w:rPr>
        <w:t>of 1330</w:t>
      </w:r>
      <w:r w:rsidRPr="001317CD">
        <w:rPr>
          <w:rFonts w:eastAsia="SimSun" w:hint="eastAsia"/>
          <w:color w:val="000000"/>
          <w:kern w:val="2"/>
          <w:szCs w:val="22"/>
          <w:lang w:val="en-US" w:eastAsia="zh-CN"/>
        </w:rPr>
        <w:t xml:space="preserve"> mW.cm</w:t>
      </w:r>
      <w:r w:rsidRPr="001317CD">
        <w:rPr>
          <w:rFonts w:eastAsia="SimSun"/>
          <w:color w:val="000000"/>
          <w:kern w:val="2"/>
          <w:szCs w:val="22"/>
          <w:vertAlign w:val="superscript"/>
          <w:lang w:val="en-US" w:eastAsia="zh-CN"/>
        </w:rPr>
        <w:t>-</w:t>
      </w:r>
      <w:r w:rsidRPr="001317CD">
        <w:rPr>
          <w:rFonts w:eastAsia="SimSun" w:hint="eastAsia"/>
          <w:color w:val="000000"/>
          <w:kern w:val="2"/>
          <w:szCs w:val="22"/>
          <w:vertAlign w:val="superscript"/>
          <w:lang w:val="en-US" w:eastAsia="zh-CN"/>
        </w:rPr>
        <w:t>2</w:t>
      </w:r>
      <w:r w:rsidRPr="001317CD">
        <w:rPr>
          <w:rFonts w:eastAsia="SimSun"/>
          <w:color w:val="000000"/>
          <w:kern w:val="2"/>
          <w:szCs w:val="22"/>
          <w:lang w:val="en-US" w:eastAsia="zh-CN"/>
        </w:rPr>
        <w:t xml:space="preserve"> with H</w:t>
      </w:r>
      <w:r w:rsidRPr="001317CD">
        <w:rPr>
          <w:rFonts w:eastAsia="SimSun"/>
          <w:color w:val="000000"/>
          <w:kern w:val="2"/>
          <w:szCs w:val="22"/>
          <w:vertAlign w:val="subscript"/>
          <w:lang w:val="en-US" w:eastAsia="zh-CN"/>
        </w:rPr>
        <w:t>2</w:t>
      </w:r>
      <w:r w:rsidRPr="001317CD">
        <w:rPr>
          <w:rFonts w:eastAsia="SimSun"/>
          <w:color w:val="000000"/>
          <w:kern w:val="2"/>
          <w:szCs w:val="22"/>
          <w:lang w:val="en-US" w:eastAsia="zh-CN"/>
        </w:rPr>
        <w:t>/O</w:t>
      </w:r>
      <w:r w:rsidRPr="001317CD">
        <w:rPr>
          <w:rFonts w:eastAsia="SimSun"/>
          <w:color w:val="000000"/>
          <w:kern w:val="2"/>
          <w:szCs w:val="22"/>
          <w:vertAlign w:val="subscript"/>
          <w:lang w:val="en-US" w:eastAsia="zh-CN"/>
        </w:rPr>
        <w:t>2</w:t>
      </w:r>
      <w:r w:rsidRPr="001317CD">
        <w:rPr>
          <w:rFonts w:eastAsia="SimSun"/>
          <w:color w:val="000000"/>
          <w:kern w:val="2"/>
          <w:szCs w:val="22"/>
          <w:lang w:val="en-US" w:eastAsia="zh-CN"/>
        </w:rPr>
        <w:t xml:space="preserve"> gases at 80 </w:t>
      </w:r>
      <w:proofErr w:type="spellStart"/>
      <w:r w:rsidRPr="001317CD">
        <w:rPr>
          <w:rFonts w:eastAsia="SimSun"/>
          <w:color w:val="000000"/>
          <w:kern w:val="2"/>
          <w:szCs w:val="22"/>
          <w:vertAlign w:val="superscript"/>
          <w:lang w:val="en-US" w:eastAsia="zh-CN"/>
        </w:rPr>
        <w:t>o</w:t>
      </w:r>
      <w:r w:rsidRPr="001317CD">
        <w:rPr>
          <w:rFonts w:eastAsia="SimSun"/>
          <w:color w:val="000000"/>
          <w:kern w:val="2"/>
          <w:szCs w:val="22"/>
          <w:lang w:val="en-US" w:eastAsia="zh-CN"/>
        </w:rPr>
        <w:t>C</w:t>
      </w:r>
      <w:proofErr w:type="spellEnd"/>
      <w:r w:rsidRPr="001317CD">
        <w:rPr>
          <w:rFonts w:eastAsia="SimSun"/>
          <w:color w:val="000000"/>
          <w:kern w:val="2"/>
          <w:szCs w:val="22"/>
          <w:lang w:val="en-US" w:eastAsia="zh-CN"/>
        </w:rPr>
        <w:t>, significantly higher than that of Pt/C.</w:t>
      </w:r>
      <w:r w:rsidRPr="001317CD">
        <w:rPr>
          <w:kern w:val="2"/>
          <w:lang w:val="en-US" w:eastAsia="zh-CN"/>
        </w:rPr>
        <w:t xml:space="preserve"> The activation loss of Pt/WMCNTs is much less than that of Pt/C. Using potential cycles between</w:t>
      </w:r>
      <w:r w:rsidRPr="001317CD">
        <w:rPr>
          <w:rFonts w:hint="eastAsia"/>
          <w:kern w:val="2"/>
          <w:lang w:val="en-US" w:eastAsia="zh-CN"/>
        </w:rPr>
        <w:t xml:space="preserve"> </w:t>
      </w:r>
      <w:r w:rsidRPr="001317CD">
        <w:rPr>
          <w:kern w:val="2"/>
          <w:lang w:val="en-US" w:eastAsia="zh-CN"/>
        </w:rPr>
        <w:t>0.1 and 1.2 V, it is evident that the Pt/MWCNTs with stable ESA values even a</w:t>
      </w:r>
      <w:r w:rsidRPr="001317CD">
        <w:rPr>
          <w:kern w:val="2"/>
          <w:lang w:val="en-US" w:eastAsia="zh-CN"/>
        </w:rPr>
        <w:t>f</w:t>
      </w:r>
      <w:r w:rsidRPr="001317CD">
        <w:rPr>
          <w:kern w:val="2"/>
          <w:lang w:val="en-US" w:eastAsia="zh-CN"/>
        </w:rPr>
        <w:t>ter 1500 cycles could be very stable in the PEMFC durability.</w:t>
      </w:r>
    </w:p>
    <w:p w:rsidR="00516260" w:rsidRPr="00542FB6" w:rsidRDefault="00516260" w:rsidP="00516260">
      <w:pPr>
        <w:spacing w:after="120"/>
        <w:rPr>
          <w:b/>
          <w:i/>
          <w:sz w:val="32"/>
          <w:szCs w:val="32"/>
          <w:u w:val="single"/>
          <w:lang w:val="fr-FR"/>
        </w:rPr>
      </w:pPr>
    </w:p>
    <w:p w:rsidR="00FF635E" w:rsidRPr="00516260" w:rsidRDefault="00FF635E">
      <w:pPr>
        <w:rPr>
          <w:lang w:val="fr-FR"/>
        </w:rPr>
      </w:pPr>
    </w:p>
    <w:sectPr w:rsidR="00FF635E" w:rsidRPr="00516260" w:rsidSect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6260"/>
    <w:rsid w:val="00006272"/>
    <w:rsid w:val="00034248"/>
    <w:rsid w:val="00151A88"/>
    <w:rsid w:val="001A6AB5"/>
    <w:rsid w:val="001C5AA8"/>
    <w:rsid w:val="001D2AA0"/>
    <w:rsid w:val="002A0996"/>
    <w:rsid w:val="003E1248"/>
    <w:rsid w:val="00475268"/>
    <w:rsid w:val="00516260"/>
    <w:rsid w:val="00550AC4"/>
    <w:rsid w:val="005A41C8"/>
    <w:rsid w:val="00703D49"/>
    <w:rsid w:val="008C2AE0"/>
    <w:rsid w:val="00A30F84"/>
    <w:rsid w:val="00B2376B"/>
    <w:rsid w:val="00B63230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60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eastAsiaTheme="minorHAnsi" w:hAnsi="Arial"/>
      <w:spacing w:val="-5"/>
      <w:sz w:val="16"/>
      <w:szCs w:val="20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B1AD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0</DocSecurity>
  <Lines>17</Lines>
  <Paragraphs>4</Paragraphs>
  <ScaleCrop>false</ScaleCrop>
  <Company>kstu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2013-09-19T11:56:00Z</dcterms:created>
  <dcterms:modified xsi:type="dcterms:W3CDTF">2013-09-19T11:56:00Z</dcterms:modified>
</cp:coreProperties>
</file>