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0A" w:rsidRDefault="0009330A" w:rsidP="00B90C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94EA8">
        <w:rPr>
          <w:rFonts w:ascii="Times New Roman" w:eastAsia="Times New Roman" w:hAnsi="Times New Roman" w:cs="Times New Roman"/>
          <w:b/>
          <w:caps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рмодинамический</w:t>
      </w:r>
      <w:r w:rsidRPr="00A94EA8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анализ</w:t>
      </w:r>
      <w:r w:rsidRPr="00A94EA8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процес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сов</w:t>
      </w:r>
      <w:r w:rsidRPr="00A94EA8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ионного обмена</w:t>
      </w:r>
      <w:r w:rsidRPr="00A94EA8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оксидов марганца</w:t>
      </w:r>
      <w:r w:rsidRPr="00A94EA8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при растворении в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кислых растворах сильных электролитов</w:t>
      </w:r>
      <w:r w:rsidRPr="00A94EA8">
        <w:rPr>
          <w:rFonts w:ascii="Times New Roman" w:eastAsia="Times New Roman" w:hAnsi="Times New Roman" w:cs="Times New Roman"/>
          <w:b/>
          <w:caps/>
          <w:sz w:val="24"/>
          <w:szCs w:val="24"/>
        </w:rPr>
        <w:t>.</w:t>
      </w:r>
    </w:p>
    <w:p w:rsidR="0009330A" w:rsidRPr="00A94EA8" w:rsidRDefault="0009330A" w:rsidP="00B90C25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09330A" w:rsidRDefault="0009330A" w:rsidP="00B90C25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94EA8">
        <w:rPr>
          <w:rFonts w:ascii="Times New Roman" w:eastAsia="Times New Roman" w:hAnsi="Times New Roman" w:cs="Times New Roman"/>
          <w:b/>
          <w:sz w:val="24"/>
          <w:szCs w:val="20"/>
        </w:rPr>
        <w:t>И. Г. Горичев, Д. В. Панкратов</w:t>
      </w:r>
    </w:p>
    <w:p w:rsidR="0009330A" w:rsidRDefault="0009330A" w:rsidP="00B90C25">
      <w:pPr>
        <w:spacing w:after="0" w:line="360" w:lineRule="auto"/>
        <w:ind w:firstLine="142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09330A" w:rsidRDefault="0009330A" w:rsidP="00B90C2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A94EA8">
        <w:rPr>
          <w:rFonts w:ascii="Times New Roman" w:eastAsia="Times New Roman" w:hAnsi="Times New Roman" w:cs="Times New Roman"/>
          <w:sz w:val="24"/>
          <w:szCs w:val="20"/>
        </w:rPr>
        <w:t>Московский педагогический государственный университет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, РФ, 119991, г. Москва, ул. М. Пироговская, д.1, </w:t>
      </w:r>
      <w:hyperlink r:id="rId4" w:history="1">
        <w:r w:rsidR="00B90C25" w:rsidRPr="009F54CF">
          <w:rPr>
            <w:rStyle w:val="a5"/>
            <w:rFonts w:ascii="Times New Roman" w:eastAsia="Times New Roman" w:hAnsi="Times New Roman" w:cs="Times New Roman"/>
            <w:sz w:val="24"/>
            <w:szCs w:val="20"/>
            <w:lang w:val="en-US"/>
          </w:rPr>
          <w:t>nir</w:t>
        </w:r>
        <w:r w:rsidR="00B90C25" w:rsidRPr="009F54CF">
          <w:rPr>
            <w:rStyle w:val="a5"/>
            <w:rFonts w:ascii="Times New Roman" w:eastAsia="Times New Roman" w:hAnsi="Times New Roman" w:cs="Times New Roman"/>
            <w:sz w:val="24"/>
            <w:szCs w:val="20"/>
          </w:rPr>
          <w:t>86@</w:t>
        </w:r>
        <w:r w:rsidR="00B90C25" w:rsidRPr="009F54CF">
          <w:rPr>
            <w:rStyle w:val="a5"/>
            <w:rFonts w:ascii="Times New Roman" w:eastAsia="Times New Roman" w:hAnsi="Times New Roman" w:cs="Times New Roman"/>
            <w:sz w:val="24"/>
            <w:szCs w:val="20"/>
            <w:lang w:val="en-US"/>
          </w:rPr>
          <w:t>mail</w:t>
        </w:r>
        <w:r w:rsidR="00B90C25" w:rsidRPr="009F54CF">
          <w:rPr>
            <w:rStyle w:val="a5"/>
            <w:rFonts w:ascii="Times New Roman" w:eastAsia="Times New Roman" w:hAnsi="Times New Roman" w:cs="Times New Roman"/>
            <w:sz w:val="24"/>
            <w:szCs w:val="20"/>
          </w:rPr>
          <w:t>.</w:t>
        </w:r>
        <w:r w:rsidR="00B90C25" w:rsidRPr="009F54CF">
          <w:rPr>
            <w:rStyle w:val="a5"/>
            <w:rFonts w:ascii="Times New Roman" w:eastAsia="Times New Roman" w:hAnsi="Times New Roman" w:cs="Times New Roman"/>
            <w:sz w:val="24"/>
            <w:szCs w:val="20"/>
            <w:lang w:val="en-US"/>
          </w:rPr>
          <w:t>ru</w:t>
        </w:r>
      </w:hyperlink>
    </w:p>
    <w:p w:rsidR="00B90C25" w:rsidRPr="00B90C25" w:rsidRDefault="00B90C25" w:rsidP="00B90C2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09330A" w:rsidRDefault="0009330A" w:rsidP="00B90C2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567B">
        <w:rPr>
          <w:rFonts w:ascii="Times New Roman" w:hAnsi="Times New Roman" w:cs="Times New Roman"/>
          <w:sz w:val="24"/>
          <w:szCs w:val="24"/>
        </w:rPr>
        <w:t>Суммарный процесс реакц</w:t>
      </w:r>
      <w:proofErr w:type="gramStart"/>
      <w:r w:rsidRPr="00C4567B">
        <w:rPr>
          <w:rFonts w:ascii="Times New Roman" w:hAnsi="Times New Roman" w:cs="Times New Roman"/>
          <w:sz w:val="24"/>
          <w:szCs w:val="24"/>
        </w:rPr>
        <w:t>ии ио</w:t>
      </w:r>
      <w:proofErr w:type="gramEnd"/>
      <w:r w:rsidRPr="00C4567B">
        <w:rPr>
          <w:rFonts w:ascii="Times New Roman" w:hAnsi="Times New Roman" w:cs="Times New Roman"/>
          <w:sz w:val="24"/>
          <w:szCs w:val="24"/>
        </w:rPr>
        <w:t xml:space="preserve">нного обмена </w:t>
      </w:r>
      <w:r>
        <w:rPr>
          <w:rFonts w:ascii="Times New Roman" w:hAnsi="Times New Roman" w:cs="Times New Roman"/>
          <w:sz w:val="24"/>
          <w:szCs w:val="24"/>
        </w:rPr>
        <w:t xml:space="preserve">на границе </w:t>
      </w:r>
      <w:r w:rsidRPr="00C4567B">
        <w:rPr>
          <w:rFonts w:ascii="Times New Roman" w:hAnsi="Times New Roman" w:cs="Times New Roman"/>
          <w:sz w:val="24"/>
          <w:szCs w:val="24"/>
        </w:rPr>
        <w:t>оксид марганца</w:t>
      </w:r>
      <w:r>
        <w:rPr>
          <w:rFonts w:ascii="Times New Roman" w:hAnsi="Times New Roman" w:cs="Times New Roman"/>
          <w:sz w:val="24"/>
          <w:szCs w:val="24"/>
        </w:rPr>
        <w:t>/раствор</w:t>
      </w:r>
      <w:r w:rsidRPr="00C4567B">
        <w:rPr>
          <w:rFonts w:ascii="Times New Roman" w:hAnsi="Times New Roman" w:cs="Times New Roman"/>
          <w:sz w:val="24"/>
          <w:szCs w:val="24"/>
        </w:rPr>
        <w:t xml:space="preserve"> можно представить в виде следующей реакции:</w:t>
      </w:r>
    </w:p>
    <w:p w:rsidR="0009330A" w:rsidRPr="00DA75A4" w:rsidRDefault="002A4F8F" w:rsidP="00B90C25">
      <w:pPr>
        <w:spacing w:after="0"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Mn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O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+2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</m:t>
            </m:r>
          </m:sup>
        </m:sSup>
        <m:r>
          <m:rPr>
            <m:sty m:val="p"/>
          </m:rPr>
          <w:rPr>
            <w:rFonts w:ascii="Cambria Math" w:hAnsi="Times New Roman" w:cs="Times New Roman"/>
            <w:noProof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Mn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Mn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2+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O</m:t>
        </m:r>
      </m:oMath>
      <w:r w:rsidR="0009330A">
        <w:rPr>
          <w:rFonts w:ascii="Times New Roman" w:hAnsi="Times New Roman" w:cs="Times New Roman"/>
          <w:sz w:val="24"/>
          <w:szCs w:val="24"/>
        </w:rPr>
        <w:tab/>
      </w:r>
      <w:r w:rsidR="0009330A">
        <w:rPr>
          <w:rFonts w:ascii="Times New Roman" w:hAnsi="Times New Roman" w:cs="Times New Roman"/>
          <w:sz w:val="24"/>
          <w:szCs w:val="24"/>
        </w:rPr>
        <w:tab/>
        <w:t>(1)</w:t>
      </w:r>
    </w:p>
    <w:p w:rsidR="0009330A" w:rsidRPr="007D1E03" w:rsidRDefault="0009330A" w:rsidP="00B90C2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Pr="007D1E0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D1E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D1E0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D1E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D1E0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→</w:t>
      </w:r>
      <w:r w:rsidRPr="007D1E03">
        <w:rPr>
          <w:rFonts w:ascii="Times New Roman" w:hAnsi="Times New Roman" w:cs="Times New Roman"/>
          <w:noProof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процесс характеризуется константой равновесия:</w:t>
      </w:r>
      <w:r w:rsidRPr="007D1E03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p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Mn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2+</m:t>
                </m:r>
              </m:sup>
            </m:sSup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/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+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7D1E03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330A" w:rsidRDefault="0009330A" w:rsidP="00B90C2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Найдено, что величина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включает вклад, характеризующий отклонение от стехиометрии:</w:t>
      </w:r>
    </w:p>
    <w:p w:rsidR="0009330A" w:rsidRDefault="0009330A" w:rsidP="00B90C25">
      <w:pPr>
        <w:spacing w:after="0" w:line="360" w:lineRule="auto"/>
        <w:ind w:firstLine="2127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</m:t>
            </m:r>
            <m:f>
              <m:fPr>
                <m:type m:val="lin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p>
                </m:sSubSup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type m:val="lin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p>
                </m:sSubSup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)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(x-1)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(i-j)RT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(2)</w:t>
      </w:r>
    </w:p>
    <w:p w:rsidR="0009330A" w:rsidRPr="007D1E03" w:rsidRDefault="0009330A" w:rsidP="00B90C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D1E03">
        <w:rPr>
          <w:rFonts w:ascii="Times New Roman" w:hAnsi="Times New Roman" w:cs="Times New Roman"/>
          <w:sz w:val="24"/>
          <w:szCs w:val="24"/>
        </w:rPr>
        <w:t>=[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D1E03">
        <w:rPr>
          <w:rFonts w:ascii="Times New Roman" w:hAnsi="Times New Roman" w:cs="Times New Roman"/>
          <w:sz w:val="24"/>
          <w:szCs w:val="24"/>
        </w:rPr>
        <w:t>]/[</w:t>
      </w:r>
      <w:r>
        <w:rPr>
          <w:rFonts w:ascii="Times New Roman" w:hAnsi="Times New Roman" w:cs="Times New Roman"/>
          <w:sz w:val="24"/>
          <w:szCs w:val="24"/>
          <w:lang w:val="en-US"/>
        </w:rPr>
        <w:t>Mn</w:t>
      </w:r>
      <w:r w:rsidRPr="007D1E0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в оксидной фазе,</w:t>
      </w:r>
      <w:r w:rsidRPr="007D1E03">
        <w:rPr>
          <w:rFonts w:ascii="Times New Roman" w:hAnsi="Times New Roman" w:cs="Times New Roman"/>
          <w:sz w:val="24"/>
          <w:szCs w:val="24"/>
        </w:rPr>
        <w:t xml:space="preserve"> ∆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7D1E0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7D1E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 w:rsidRPr="007D1E03">
        <w:rPr>
          <w:rFonts w:ascii="Times New Roman" w:hAnsi="Times New Roman" w:cs="Times New Roman"/>
          <w:sz w:val="24"/>
          <w:szCs w:val="24"/>
        </w:rPr>
        <w:t>∆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7D1E0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7D1E0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известные значения свободной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энергии Гиббса образования оксидов марганца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MnO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7D1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MnO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spellEnd"/>
      <w:r w:rsidRPr="007D1E03">
        <w:rPr>
          <w:rFonts w:ascii="Times New Roman" w:hAnsi="Times New Roman" w:cs="Times New Roman"/>
          <w:sz w:val="24"/>
          <w:szCs w:val="24"/>
        </w:rPr>
        <w:t>.</w:t>
      </w:r>
    </w:p>
    <w:p w:rsidR="0009330A" w:rsidRPr="00583F0A" w:rsidRDefault="0009330A" w:rsidP="00B90C2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Константа равновесия включает величину, учитывающую скачок потенциала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>на границе оксид/электролит:</w:t>
      </w:r>
    </w:p>
    <w:p w:rsidR="0009330A" w:rsidRPr="00101A74" w:rsidRDefault="0009330A" w:rsidP="00B90C25">
      <w:pPr>
        <w:spacing w:after="0" w:line="36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φ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=2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φ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-(2,3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RT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/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)(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pH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p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))/2,3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RT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(3)</w:t>
      </w:r>
    </w:p>
    <w:p w:rsidR="0009330A" w:rsidRPr="00583F0A" w:rsidRDefault="0009330A" w:rsidP="00B90C2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анализа экспериментальных данных найдено численное значение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01A7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01A7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01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01A74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φ</w:t>
      </w:r>
      <w:proofErr w:type="spellEnd"/>
      <w:r w:rsidRPr="00101A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9330A" w:rsidRPr="00583F0A" w:rsidRDefault="0009330A" w:rsidP="00B90C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lg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=lg</m:t>
        </m:r>
        <m:sSubSup>
          <m:sSubSup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0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+f</m:t>
        </m:r>
        <m:d>
          <m:dPr>
            <m:ctrlPr>
              <w:rPr>
                <w:rFonts w:ascii="Cambria Math" w:hAnsi="Cambria Math" w:cs="Times New Roman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+f</m:t>
        </m:r>
        <m:d>
          <m:dPr>
            <m:ctrlPr>
              <w:rPr>
                <w:rFonts w:ascii="Cambria Math" w:hAnsi="Cambria Math" w:cs="Times New Roman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φ</m:t>
            </m:r>
          </m:e>
        </m:d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=20,264-23,272</m:t>
        </m:r>
        <m:sSup>
          <m:sSup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(x-1)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-</m:t>
        </m:r>
        <m:f>
          <m:fPr>
            <m:ctrlPr>
              <w:rPr>
                <w:rFonts w:ascii="Cambria Math" w:hAnsi="Cambria Math" w:cs="Times New Roman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2</m:t>
            </m:r>
            <m:d>
              <m:dPr>
                <m:ctrlPr>
                  <w:rPr>
                    <w:rFonts w:ascii="Cambria Math" w:hAnsi="Cambria Math" w:cs="Times New Roman"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x-1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0,059</m:t>
            </m:r>
          </m:den>
        </m:f>
        <m:d>
          <m:dPr>
            <m:ctrlPr>
              <w:rPr>
                <w:rFonts w:ascii="Cambria Math" w:hAnsi="Cambria Math" w:cs="Times New Roman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</w:rPr>
              <m:t>φ-0,059</m:t>
            </m:r>
            <m:d>
              <m:dPr>
                <m:ctrlPr>
                  <w:rPr>
                    <w:rFonts w:ascii="Cambria Math" w:hAnsi="Cambria Math" w:cs="Times New Roman"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-pH</m:t>
                </m:r>
              </m:e>
            </m:d>
          </m:e>
        </m:d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,</m:t>
        </m:r>
      </m:oMath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101A74">
        <w:rPr>
          <w:rFonts w:ascii="Times New Roman" w:hAnsi="Times New Roman" w:cs="Times New Roman"/>
          <w:sz w:val="24"/>
          <w:szCs w:val="24"/>
        </w:rPr>
        <w:t>(4)</w:t>
      </w:r>
    </w:p>
    <w:p w:rsidR="0009330A" w:rsidRDefault="0009330A" w:rsidP="00B90C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рН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1,18</w:t>
      </w:r>
    </w:p>
    <w:p w:rsidR="00ED42CC" w:rsidRDefault="0009330A" w:rsidP="00B90C25">
      <w:pPr>
        <w:spacing w:after="0" w:line="360" w:lineRule="auto"/>
        <w:ind w:firstLine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Предложенные закономерности позволяют рассчитывать </w:t>
      </w:r>
      <w:r w:rsidR="00B90C2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онечный нестехиометрический состав 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D64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оксидной фазы при различных рН, </w:t>
      </w:r>
      <w:proofErr w:type="spellStart"/>
      <w:r>
        <w:rPr>
          <w:rFonts w:ascii="Times New Roman" w:hAnsi="Times New Roman" w:cs="Times New Roman"/>
          <w:sz w:val="24"/>
          <w:szCs w:val="24"/>
        </w:rPr>
        <w:t>φ,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4D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>Mn</w:t>
      </w:r>
      <w:r w:rsidRPr="00CD64DA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D64DA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>и намечают пути его регулирования.</w:t>
      </w:r>
    </w:p>
    <w:sectPr w:rsidR="00ED42CC" w:rsidSect="00B90C25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9330A"/>
    <w:rsid w:val="0009330A"/>
    <w:rsid w:val="002A4F8F"/>
    <w:rsid w:val="00B90C25"/>
    <w:rsid w:val="00ED4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30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90C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r8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1186</Characters>
  <Application>Microsoft Office Word</Application>
  <DocSecurity>0</DocSecurity>
  <Lines>9</Lines>
  <Paragraphs>2</Paragraphs>
  <ScaleCrop>false</ScaleCrop>
  <Company>Дмитрий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2009-03-19T11:08:00Z</dcterms:created>
  <dcterms:modified xsi:type="dcterms:W3CDTF">2009-03-19T11:14:00Z</dcterms:modified>
</cp:coreProperties>
</file>