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F4" w:rsidRDefault="00B74833" w:rsidP="00B74833">
      <w:pPr>
        <w:pStyle w:val="2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РАСЧЕТА И МОДЕЛИРОВАНИ</w:t>
      </w:r>
      <w:r w:rsidR="005D6E6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ТЕРМОДИНАМИЧЕСКИХ СВОЙСТВ СЛОЖНЫХ УГЛЕВОДОРОДНЫХ СМЕСЕЙ В ШИРОКОМ ДИАПАЗОНЕ ПАРАМЕТРОВ СОСТОЯНИЯ НА ОСНОВЕ УРАВНЕНИЙ СОСТОЯНИЯ</w:t>
      </w:r>
    </w:p>
    <w:p w:rsidR="00EB0BEA" w:rsidRDefault="00EB0BEA" w:rsidP="00BF6EBC">
      <w:pPr>
        <w:pStyle w:val="21"/>
        <w:ind w:firstLine="567"/>
        <w:jc w:val="center"/>
        <w:rPr>
          <w:sz w:val="28"/>
          <w:szCs w:val="28"/>
        </w:rPr>
      </w:pPr>
      <w:r w:rsidRPr="00B74833">
        <w:rPr>
          <w:sz w:val="28"/>
          <w:szCs w:val="28"/>
          <w:vertAlign w:val="superscript"/>
        </w:rPr>
        <w:t>1</w:t>
      </w:r>
      <w:r w:rsidR="00E25FF4" w:rsidRPr="00B74833">
        <w:rPr>
          <w:sz w:val="28"/>
          <w:szCs w:val="28"/>
        </w:rPr>
        <w:t>Г</w:t>
      </w:r>
      <w:r w:rsidR="00B74833">
        <w:rPr>
          <w:sz w:val="28"/>
          <w:szCs w:val="28"/>
        </w:rPr>
        <w:t xml:space="preserve">ерасимов А.А., </w:t>
      </w:r>
      <w:r w:rsidR="00B74833" w:rsidRPr="00B74833">
        <w:rPr>
          <w:sz w:val="28"/>
          <w:szCs w:val="28"/>
          <w:u w:val="single"/>
          <w:vertAlign w:val="superscript"/>
        </w:rPr>
        <w:t>2</w:t>
      </w:r>
      <w:r w:rsidR="00B74833" w:rsidRPr="00B74833">
        <w:rPr>
          <w:sz w:val="28"/>
          <w:szCs w:val="28"/>
          <w:u w:val="single"/>
        </w:rPr>
        <w:t>Гр</w:t>
      </w:r>
      <w:r w:rsidR="00E25FF4" w:rsidRPr="00B74833">
        <w:rPr>
          <w:sz w:val="28"/>
          <w:szCs w:val="28"/>
          <w:u w:val="single"/>
        </w:rPr>
        <w:t>игорьев Б.А.</w:t>
      </w:r>
      <w:r w:rsidR="00E25FF4">
        <w:rPr>
          <w:sz w:val="28"/>
          <w:szCs w:val="28"/>
        </w:rPr>
        <w:t xml:space="preserve">, </w:t>
      </w:r>
      <w:r w:rsidR="00B74833">
        <w:rPr>
          <w:sz w:val="28"/>
          <w:szCs w:val="28"/>
          <w:vertAlign w:val="superscript"/>
        </w:rPr>
        <w:t>1</w:t>
      </w:r>
      <w:r w:rsidR="00E25FF4">
        <w:rPr>
          <w:sz w:val="28"/>
          <w:szCs w:val="28"/>
        </w:rPr>
        <w:t>Александров И.С.</w:t>
      </w:r>
    </w:p>
    <w:p w:rsidR="00B74833" w:rsidRDefault="00B74833" w:rsidP="00B74833">
      <w:pPr>
        <w:pStyle w:val="21"/>
        <w:ind w:firstLine="567"/>
        <w:jc w:val="center"/>
        <w:rPr>
          <w:i/>
          <w:sz w:val="28"/>
          <w:szCs w:val="28"/>
        </w:rPr>
      </w:pPr>
      <w:r>
        <w:rPr>
          <w:i/>
          <w:sz w:val="20"/>
          <w:vertAlign w:val="superscript"/>
        </w:rPr>
        <w:t>1</w:t>
      </w:r>
      <w:r w:rsidRPr="00EB0BEA">
        <w:rPr>
          <w:i/>
          <w:szCs w:val="28"/>
        </w:rPr>
        <w:t>Калининградский государственный технический университет, г. Калининград</w:t>
      </w:r>
      <w:r>
        <w:rPr>
          <w:i/>
          <w:sz w:val="28"/>
          <w:szCs w:val="28"/>
        </w:rPr>
        <w:t>, Советский проспект 1</w:t>
      </w:r>
    </w:p>
    <w:p w:rsidR="00E25FF4" w:rsidRPr="00E634D5" w:rsidRDefault="00B74833" w:rsidP="00B74833">
      <w:pPr>
        <w:pStyle w:val="21"/>
        <w:ind w:firstLine="567"/>
        <w:jc w:val="center"/>
        <w:rPr>
          <w:i/>
          <w:sz w:val="28"/>
          <w:szCs w:val="28"/>
        </w:rPr>
      </w:pPr>
      <w:r w:rsidRPr="00B74833">
        <w:rPr>
          <w:i/>
          <w:sz w:val="28"/>
          <w:szCs w:val="28"/>
          <w:vertAlign w:val="superscript"/>
        </w:rPr>
        <w:t>2</w:t>
      </w:r>
      <w:r w:rsidR="001766BD" w:rsidRPr="001766BD">
        <w:rPr>
          <w:i/>
          <w:sz w:val="28"/>
          <w:szCs w:val="28"/>
        </w:rPr>
        <w:t>ООО «Газпром ВНИИГАЗ»,</w:t>
      </w:r>
      <w:r w:rsidR="001766BD">
        <w:rPr>
          <w:i/>
          <w:sz w:val="28"/>
          <w:szCs w:val="28"/>
        </w:rPr>
        <w:t xml:space="preserve"> </w:t>
      </w:r>
      <w:r w:rsidR="00D95B3A" w:rsidRPr="00D95B3A">
        <w:rPr>
          <w:i/>
          <w:szCs w:val="28"/>
        </w:rPr>
        <w:t xml:space="preserve">Московская область, Ленинский район, </w:t>
      </w:r>
      <w:r w:rsidR="00D95B3A">
        <w:rPr>
          <w:i/>
          <w:szCs w:val="28"/>
        </w:rPr>
        <w:t>пос. Ра</w:t>
      </w:r>
      <w:r w:rsidR="00D95B3A">
        <w:rPr>
          <w:i/>
          <w:szCs w:val="28"/>
        </w:rPr>
        <w:t>з</w:t>
      </w:r>
      <w:r w:rsidR="00D95B3A">
        <w:rPr>
          <w:i/>
          <w:szCs w:val="28"/>
        </w:rPr>
        <w:t>вилка</w:t>
      </w:r>
      <w:r w:rsidR="00E25FF4" w:rsidRPr="00E634D5">
        <w:rPr>
          <w:i/>
          <w:sz w:val="28"/>
          <w:szCs w:val="28"/>
        </w:rPr>
        <w:t xml:space="preserve">, </w:t>
      </w:r>
      <w:r w:rsidR="00E25FF4">
        <w:rPr>
          <w:i/>
          <w:sz w:val="28"/>
          <w:szCs w:val="28"/>
          <w:lang w:val="en-US"/>
        </w:rPr>
        <w:t>e</w:t>
      </w:r>
      <w:r w:rsidR="00E25FF4" w:rsidRPr="00E634D5">
        <w:rPr>
          <w:i/>
          <w:sz w:val="28"/>
          <w:szCs w:val="28"/>
        </w:rPr>
        <w:t>-</w:t>
      </w:r>
      <w:r w:rsidR="00E25FF4">
        <w:rPr>
          <w:i/>
          <w:sz w:val="28"/>
          <w:szCs w:val="28"/>
          <w:lang w:val="en-US"/>
        </w:rPr>
        <w:t>mail</w:t>
      </w:r>
      <w:r w:rsidR="00E25FF4" w:rsidRPr="00E634D5">
        <w:rPr>
          <w:i/>
          <w:sz w:val="28"/>
          <w:szCs w:val="28"/>
        </w:rPr>
        <w:t xml:space="preserve">: </w:t>
      </w:r>
      <w:hyperlink r:id="rId6" w:history="1">
        <w:r w:rsidR="00E25FF4" w:rsidRPr="0097730B">
          <w:rPr>
            <w:rStyle w:val="a9"/>
            <w:i/>
            <w:sz w:val="28"/>
            <w:szCs w:val="28"/>
            <w:lang w:val="en-US"/>
          </w:rPr>
          <w:t>alexandrov</w:t>
        </w:r>
        <w:r w:rsidR="00E25FF4" w:rsidRPr="00E634D5">
          <w:rPr>
            <w:rStyle w:val="a9"/>
            <w:i/>
            <w:sz w:val="28"/>
            <w:szCs w:val="28"/>
          </w:rPr>
          <w:t>_</w:t>
        </w:r>
        <w:r w:rsidR="00E25FF4" w:rsidRPr="0097730B">
          <w:rPr>
            <w:rStyle w:val="a9"/>
            <w:i/>
            <w:sz w:val="28"/>
            <w:szCs w:val="28"/>
            <w:lang w:val="en-US"/>
          </w:rPr>
          <w:t>kgrd</w:t>
        </w:r>
        <w:r w:rsidR="00E25FF4" w:rsidRPr="00E634D5">
          <w:rPr>
            <w:rStyle w:val="a9"/>
            <w:i/>
            <w:sz w:val="28"/>
            <w:szCs w:val="28"/>
          </w:rPr>
          <w:t>@</w:t>
        </w:r>
        <w:r w:rsidR="00E25FF4" w:rsidRPr="0097730B">
          <w:rPr>
            <w:rStyle w:val="a9"/>
            <w:i/>
            <w:sz w:val="28"/>
            <w:szCs w:val="28"/>
            <w:lang w:val="en-US"/>
          </w:rPr>
          <w:t>mail</w:t>
        </w:r>
        <w:r w:rsidR="00E25FF4" w:rsidRPr="00E634D5">
          <w:rPr>
            <w:rStyle w:val="a9"/>
            <w:i/>
            <w:sz w:val="28"/>
            <w:szCs w:val="28"/>
          </w:rPr>
          <w:t>.</w:t>
        </w:r>
        <w:r w:rsidR="00E25FF4" w:rsidRPr="0097730B">
          <w:rPr>
            <w:rStyle w:val="a9"/>
            <w:i/>
            <w:sz w:val="28"/>
            <w:szCs w:val="28"/>
            <w:lang w:val="en-US"/>
          </w:rPr>
          <w:t>ru</w:t>
        </w:r>
      </w:hyperlink>
    </w:p>
    <w:p w:rsidR="00314C9A" w:rsidRPr="005B3C8A" w:rsidRDefault="00357EF6" w:rsidP="00B74833">
      <w:pPr>
        <w:spacing w:line="240" w:lineRule="auto"/>
        <w:ind w:firstLine="0"/>
        <w:rPr>
          <w:szCs w:val="28"/>
        </w:rPr>
      </w:pPr>
      <w:r w:rsidRPr="00E634D5">
        <w:rPr>
          <w:szCs w:val="28"/>
        </w:rPr>
        <w:tab/>
      </w:r>
    </w:p>
    <w:p w:rsidR="00E634D5" w:rsidRPr="00E634D5" w:rsidRDefault="00E634D5" w:rsidP="00E634D5">
      <w:pPr>
        <w:spacing w:line="240" w:lineRule="auto"/>
        <w:rPr>
          <w:szCs w:val="28"/>
        </w:rPr>
      </w:pPr>
      <w:r w:rsidRPr="00E634D5">
        <w:rPr>
          <w:szCs w:val="28"/>
        </w:rPr>
        <w:t>Надежные данные о разнообразных термодинамических свойствах (ТДС) углеводородных систем необходимы при разработке технологии добычи, транспорта и переработки углеводородного сырья. Широкий диапазон рабочих параметров и углеводородного состава не позволяют обеспечивать потребности технологической практики в информации о теплофизических свойствах только экспериментальными данными о ТДС. Поэтому дефицит информации может быть восполнен только экспериментально и научно обоснованными расчетн</w:t>
      </w:r>
      <w:r w:rsidRPr="00E634D5">
        <w:rPr>
          <w:szCs w:val="28"/>
        </w:rPr>
        <w:t>ы</w:t>
      </w:r>
      <w:r w:rsidRPr="00E634D5">
        <w:rPr>
          <w:szCs w:val="28"/>
        </w:rPr>
        <w:t xml:space="preserve">ми методами. </w:t>
      </w:r>
    </w:p>
    <w:p w:rsidR="00E634D5" w:rsidRPr="00E634D5" w:rsidRDefault="00E634D5" w:rsidP="00E634D5">
      <w:pPr>
        <w:spacing w:line="240" w:lineRule="auto"/>
        <w:rPr>
          <w:szCs w:val="28"/>
        </w:rPr>
      </w:pPr>
      <w:r w:rsidRPr="00E634D5">
        <w:rPr>
          <w:szCs w:val="28"/>
        </w:rPr>
        <w:tab/>
        <w:t>Моделирование ТДС и фазовых равновесий нефтяных и газоконденса</w:t>
      </w:r>
      <w:r w:rsidRPr="00E634D5">
        <w:rPr>
          <w:szCs w:val="28"/>
        </w:rPr>
        <w:t>т</w:t>
      </w:r>
      <w:r w:rsidRPr="00E634D5">
        <w:rPr>
          <w:szCs w:val="28"/>
        </w:rPr>
        <w:t>ных систем производят в настоящее время, как правило, на основе кубических уравнений состояния (УС). Однако, несмотря на существенные успехи, дости</w:t>
      </w:r>
      <w:r w:rsidRPr="00E634D5">
        <w:rPr>
          <w:szCs w:val="28"/>
        </w:rPr>
        <w:t>г</w:t>
      </w:r>
      <w:r w:rsidRPr="00E634D5">
        <w:rPr>
          <w:szCs w:val="28"/>
        </w:rPr>
        <w:t>нутые на пути разработки и применения в научно-исследовательской и инж</w:t>
      </w:r>
      <w:r w:rsidRPr="00E634D5">
        <w:rPr>
          <w:szCs w:val="28"/>
        </w:rPr>
        <w:t>е</w:t>
      </w:r>
      <w:r w:rsidRPr="00E634D5">
        <w:rPr>
          <w:szCs w:val="28"/>
        </w:rPr>
        <w:t xml:space="preserve">нерной практике кубических УС, основной их недостаток – низкая точность расчета ТДС в широком диапазоне параметров состояния – не преодолен и не может быть преодолен в рамках данного класса уравнений.  Этот недостаток является «генетическим», присущим простой структуре уравнения. </w:t>
      </w:r>
    </w:p>
    <w:p w:rsidR="008D36A2" w:rsidRDefault="00E634D5" w:rsidP="00E634D5">
      <w:pPr>
        <w:spacing w:line="240" w:lineRule="auto"/>
        <w:rPr>
          <w:szCs w:val="28"/>
        </w:rPr>
      </w:pPr>
      <w:r w:rsidRPr="00E634D5">
        <w:rPr>
          <w:szCs w:val="28"/>
        </w:rPr>
        <w:tab/>
      </w:r>
      <w:proofErr w:type="gramStart"/>
      <w:r w:rsidRPr="00E634D5">
        <w:rPr>
          <w:szCs w:val="28"/>
        </w:rPr>
        <w:t xml:space="preserve">Альтернативой кубическим УС являются единые для жидкой и газовой фазы </w:t>
      </w:r>
      <w:proofErr w:type="spellStart"/>
      <w:r w:rsidRPr="00E634D5">
        <w:rPr>
          <w:szCs w:val="28"/>
        </w:rPr>
        <w:t>многоконстантные</w:t>
      </w:r>
      <w:proofErr w:type="spellEnd"/>
      <w:r w:rsidRPr="00E634D5">
        <w:rPr>
          <w:szCs w:val="28"/>
        </w:rPr>
        <w:t xml:space="preserve"> УС, описывающие какой-либо термодинамический п</w:t>
      </w:r>
      <w:r w:rsidRPr="00E634D5">
        <w:rPr>
          <w:szCs w:val="28"/>
        </w:rPr>
        <w:t>о</w:t>
      </w:r>
      <w:r w:rsidRPr="00E634D5">
        <w:rPr>
          <w:szCs w:val="28"/>
        </w:rPr>
        <w:t>тенциал в его собственных переменных.</w:t>
      </w:r>
      <w:proofErr w:type="gramEnd"/>
      <w:r w:rsidRPr="00E634D5">
        <w:rPr>
          <w:szCs w:val="28"/>
        </w:rPr>
        <w:t xml:space="preserve"> Такие уравнения ещё называют фу</w:t>
      </w:r>
      <w:r w:rsidRPr="00E634D5">
        <w:rPr>
          <w:szCs w:val="28"/>
        </w:rPr>
        <w:t>н</w:t>
      </w:r>
      <w:r w:rsidRPr="00E634D5">
        <w:rPr>
          <w:szCs w:val="28"/>
        </w:rPr>
        <w:t>даментальными. Успехи, достигнутые за последние 40 лет в области разработки фундаментальных УС для технически важных веществ, позволяют применить эти методы для решения более сложной задачи – моделирование ТДС мног</w:t>
      </w:r>
      <w:r w:rsidRPr="00E634D5">
        <w:rPr>
          <w:szCs w:val="28"/>
        </w:rPr>
        <w:t>о</w:t>
      </w:r>
      <w:r w:rsidRPr="00E634D5">
        <w:rPr>
          <w:szCs w:val="28"/>
        </w:rPr>
        <w:t>компонентных углеводородных систем. Предлагается новый подход, основа</w:t>
      </w:r>
      <w:r w:rsidRPr="00E634D5">
        <w:rPr>
          <w:szCs w:val="28"/>
        </w:rPr>
        <w:t>н</w:t>
      </w:r>
      <w:r w:rsidRPr="00E634D5">
        <w:rPr>
          <w:szCs w:val="28"/>
        </w:rPr>
        <w:t xml:space="preserve">ный на использовании двух обобщенных </w:t>
      </w:r>
      <w:proofErr w:type="spellStart"/>
      <w:r w:rsidRPr="00E634D5">
        <w:rPr>
          <w:szCs w:val="28"/>
        </w:rPr>
        <w:t>многоконстантных</w:t>
      </w:r>
      <w:proofErr w:type="spellEnd"/>
      <w:r w:rsidRPr="00E634D5">
        <w:rPr>
          <w:szCs w:val="28"/>
        </w:rPr>
        <w:t xml:space="preserve"> (14 констант) фу</w:t>
      </w:r>
      <w:r w:rsidRPr="00E634D5">
        <w:rPr>
          <w:szCs w:val="28"/>
        </w:rPr>
        <w:t>н</w:t>
      </w:r>
      <w:r w:rsidRPr="00E634D5">
        <w:rPr>
          <w:szCs w:val="28"/>
        </w:rPr>
        <w:t>даментальных уравнений состояния, описывающих с достаточно высокой то</w:t>
      </w:r>
      <w:r w:rsidRPr="00E634D5">
        <w:rPr>
          <w:szCs w:val="28"/>
        </w:rPr>
        <w:t>ч</w:t>
      </w:r>
      <w:r w:rsidRPr="00E634D5">
        <w:rPr>
          <w:szCs w:val="28"/>
        </w:rPr>
        <w:t>ностью все термодинамические свойства соответственно н-</w:t>
      </w:r>
      <w:proofErr w:type="spellStart"/>
      <w:r w:rsidRPr="00E634D5">
        <w:rPr>
          <w:szCs w:val="28"/>
        </w:rPr>
        <w:t>алканов</w:t>
      </w:r>
      <w:proofErr w:type="spellEnd"/>
      <w:r w:rsidRPr="00E634D5">
        <w:rPr>
          <w:szCs w:val="28"/>
        </w:rPr>
        <w:t xml:space="preserve"> и углевод</w:t>
      </w:r>
      <w:r w:rsidRPr="00E634D5">
        <w:rPr>
          <w:szCs w:val="28"/>
        </w:rPr>
        <w:t>о</w:t>
      </w:r>
      <w:r w:rsidRPr="00E634D5">
        <w:rPr>
          <w:szCs w:val="28"/>
        </w:rPr>
        <w:t>родов циклического строения в диапазоне температуры от тройной точки до 700</w:t>
      </w:r>
      <w:proofErr w:type="gramStart"/>
      <w:r w:rsidRPr="00E634D5">
        <w:rPr>
          <w:szCs w:val="28"/>
        </w:rPr>
        <w:t xml:space="preserve"> К</w:t>
      </w:r>
      <w:proofErr w:type="gramEnd"/>
      <w:r w:rsidRPr="00E634D5">
        <w:rPr>
          <w:szCs w:val="28"/>
        </w:rPr>
        <w:t xml:space="preserve"> при давлениях до 100 МПа. </w:t>
      </w:r>
    </w:p>
    <w:p w:rsidR="008D36A2" w:rsidRDefault="008D36A2" w:rsidP="008D36A2">
      <w:pPr>
        <w:spacing w:line="240" w:lineRule="auto"/>
        <w:ind w:firstLine="709"/>
        <w:rPr>
          <w:szCs w:val="28"/>
        </w:rPr>
      </w:pPr>
      <w:r w:rsidRPr="008D36A2">
        <w:rPr>
          <w:szCs w:val="28"/>
        </w:rPr>
        <w:t>Фундаментальные обобщенные уравнения состояния описывают</w:t>
      </w:r>
      <w:r>
        <w:rPr>
          <w:szCs w:val="28"/>
        </w:rPr>
        <w:t xml:space="preserve"> </w:t>
      </w:r>
      <w:r w:rsidRPr="001A0333">
        <w:rPr>
          <w:szCs w:val="28"/>
        </w:rPr>
        <w:t>безра</w:t>
      </w:r>
      <w:r w:rsidRPr="001A0333">
        <w:rPr>
          <w:szCs w:val="28"/>
        </w:rPr>
        <w:t>з</w:t>
      </w:r>
      <w:r w:rsidRPr="001A0333">
        <w:rPr>
          <w:szCs w:val="28"/>
        </w:rPr>
        <w:t>мерную свободную энергию Гельмгольца</w:t>
      </w:r>
    </w:p>
    <w:p w:rsidR="008D36A2" w:rsidRPr="001A0333" w:rsidRDefault="008D36A2" w:rsidP="008D36A2">
      <w:pPr>
        <w:spacing w:line="240" w:lineRule="auto"/>
        <w:ind w:firstLine="708"/>
        <w:rPr>
          <w:szCs w:val="28"/>
        </w:rPr>
      </w:pPr>
    </w:p>
    <w:p w:rsidR="008D36A2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t xml:space="preserve"> </w:t>
      </w:r>
      <w:r w:rsidRPr="001A0333">
        <w:rPr>
          <w:position w:val="-24"/>
          <w:szCs w:val="28"/>
        </w:rPr>
        <w:object w:dxaOrig="5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36.75pt" o:ole="">
            <v:imagedata r:id="rId7" o:title=""/>
          </v:shape>
          <o:OLEObject Type="Embed" ProgID="Equation.3" ShapeID="_x0000_i1025" DrawAspect="Content" ObjectID="_1469526201" r:id="rId8"/>
        </w:object>
      </w:r>
      <w:r w:rsidRPr="001A0333">
        <w:rPr>
          <w:szCs w:val="28"/>
        </w:rPr>
        <w:t xml:space="preserve">                             </w:t>
      </w:r>
      <w:r w:rsidR="0054263D">
        <w:rPr>
          <w:szCs w:val="28"/>
        </w:rPr>
        <w:t xml:space="preserve">        </w:t>
      </w:r>
      <w:r w:rsidR="00363773">
        <w:rPr>
          <w:szCs w:val="28"/>
        </w:rPr>
        <w:t xml:space="preserve">   </w:t>
      </w:r>
      <w:r w:rsidRPr="001A0333">
        <w:rPr>
          <w:szCs w:val="28"/>
        </w:rPr>
        <w:t>(</w:t>
      </w:r>
      <w:r w:rsidR="0054263D">
        <w:rPr>
          <w:szCs w:val="28"/>
        </w:rPr>
        <w:t>1</w:t>
      </w:r>
      <w:r w:rsidRPr="001A0333">
        <w:rPr>
          <w:szCs w:val="28"/>
        </w:rPr>
        <w:t>)</w:t>
      </w:r>
    </w:p>
    <w:p w:rsidR="008D36A2" w:rsidRPr="001A0333" w:rsidRDefault="008D36A2" w:rsidP="008D36A2">
      <w:pPr>
        <w:spacing w:line="240" w:lineRule="auto"/>
        <w:rPr>
          <w:szCs w:val="28"/>
        </w:rPr>
      </w:pPr>
    </w:p>
    <w:p w:rsidR="008D36A2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lastRenderedPageBreak/>
        <w:t xml:space="preserve">где </w:t>
      </w:r>
      <w:r w:rsidRPr="001A0333">
        <w:rPr>
          <w:i/>
          <w:szCs w:val="28"/>
          <w:lang w:val="en-US"/>
        </w:rPr>
        <w:t>a</w:t>
      </w:r>
      <w:r w:rsidRPr="001A0333">
        <w:rPr>
          <w:szCs w:val="28"/>
        </w:rPr>
        <w:t>(</w:t>
      </w:r>
      <w:r w:rsidRPr="001F1666">
        <w:rPr>
          <w:i/>
          <w:szCs w:val="28"/>
        </w:rPr>
        <w:t>T</w:t>
      </w:r>
      <w:r w:rsidRPr="001A0333">
        <w:rPr>
          <w:szCs w:val="28"/>
        </w:rPr>
        <w:t>,</w:t>
      </w:r>
      <w:r w:rsidRPr="001F1666">
        <w:rPr>
          <w:i/>
          <w:szCs w:val="28"/>
        </w:rPr>
        <w:t>ρ</w:t>
      </w:r>
      <w:r w:rsidRPr="001A0333">
        <w:rPr>
          <w:szCs w:val="28"/>
        </w:rPr>
        <w:t xml:space="preserve">) – свободная энергия Гельмгольца; </w:t>
      </w:r>
      <w:r w:rsidRPr="001A0333">
        <w:rPr>
          <w:i/>
          <w:szCs w:val="28"/>
        </w:rPr>
        <w:t>α</w:t>
      </w:r>
      <w:r w:rsidRPr="001A0333">
        <w:rPr>
          <w:szCs w:val="28"/>
          <w:vertAlign w:val="superscript"/>
        </w:rPr>
        <w:t>0</w:t>
      </w:r>
      <w:r w:rsidRPr="001A0333">
        <w:rPr>
          <w:szCs w:val="28"/>
        </w:rPr>
        <w:t>(</w:t>
      </w:r>
      <w:r w:rsidRPr="001F1666">
        <w:rPr>
          <w:i/>
          <w:szCs w:val="28"/>
        </w:rPr>
        <w:t>τ</w:t>
      </w:r>
      <w:r w:rsidRPr="001A0333">
        <w:rPr>
          <w:szCs w:val="28"/>
        </w:rPr>
        <w:t>,</w:t>
      </w:r>
      <w:r w:rsidRPr="001F1666">
        <w:rPr>
          <w:szCs w:val="28"/>
        </w:rPr>
        <w:t xml:space="preserve"> </w:t>
      </w:r>
      <w:r w:rsidRPr="001F1666">
        <w:rPr>
          <w:i/>
          <w:szCs w:val="28"/>
        </w:rPr>
        <w:t>δ</w:t>
      </w:r>
      <w:r w:rsidRPr="001A0333">
        <w:rPr>
          <w:szCs w:val="28"/>
        </w:rPr>
        <w:t xml:space="preserve">) – идеальная часть; </w:t>
      </w:r>
      <w:r w:rsidRPr="001A0333">
        <w:rPr>
          <w:i/>
          <w:szCs w:val="28"/>
        </w:rPr>
        <w:t>α</w:t>
      </w:r>
      <w:r w:rsidRPr="001A0333">
        <w:rPr>
          <w:szCs w:val="28"/>
          <w:vertAlign w:val="superscript"/>
          <w:lang w:val="en-US"/>
        </w:rPr>
        <w:t>r</w:t>
      </w:r>
      <w:r w:rsidRPr="001A0333">
        <w:rPr>
          <w:szCs w:val="28"/>
        </w:rPr>
        <w:t>(</w:t>
      </w:r>
      <w:r w:rsidRPr="001F1666">
        <w:rPr>
          <w:i/>
          <w:szCs w:val="28"/>
        </w:rPr>
        <w:t>τ</w:t>
      </w:r>
      <w:r w:rsidRPr="001A0333">
        <w:rPr>
          <w:szCs w:val="28"/>
        </w:rPr>
        <w:t>,</w:t>
      </w:r>
      <w:r w:rsidRPr="001F1666">
        <w:rPr>
          <w:i/>
          <w:szCs w:val="28"/>
        </w:rPr>
        <w:t>δ</w:t>
      </w:r>
      <w:r w:rsidRPr="001A0333">
        <w:rPr>
          <w:szCs w:val="28"/>
        </w:rPr>
        <w:t xml:space="preserve">) – избыточная часть; </w:t>
      </w:r>
      <w:r w:rsidRPr="009625AB">
        <w:rPr>
          <w:i/>
          <w:szCs w:val="28"/>
        </w:rPr>
        <w:t>δ</w:t>
      </w:r>
      <w:r w:rsidRPr="001A0333">
        <w:rPr>
          <w:szCs w:val="28"/>
        </w:rPr>
        <w:t xml:space="preserve"> = </w:t>
      </w:r>
      <w:r w:rsidRPr="009625AB">
        <w:rPr>
          <w:i/>
          <w:szCs w:val="28"/>
        </w:rPr>
        <w:t>ρ</w:t>
      </w:r>
      <w:r w:rsidRPr="001A0333">
        <w:rPr>
          <w:szCs w:val="28"/>
        </w:rPr>
        <w:t>/</w:t>
      </w:r>
      <w:r w:rsidRPr="009625AB">
        <w:rPr>
          <w:i/>
          <w:szCs w:val="28"/>
        </w:rPr>
        <w:t>ρ</w:t>
      </w:r>
      <w:r w:rsidRPr="009625AB">
        <w:rPr>
          <w:i/>
          <w:szCs w:val="28"/>
          <w:vertAlign w:val="subscript"/>
        </w:rPr>
        <w:t>r</w:t>
      </w:r>
      <w:proofErr w:type="gramStart"/>
      <w:r w:rsidRPr="001A0333">
        <w:rPr>
          <w:szCs w:val="28"/>
        </w:rPr>
        <w:t xml:space="preserve"> ;</w:t>
      </w:r>
      <w:proofErr w:type="gramEnd"/>
      <w:r w:rsidRPr="001A0333">
        <w:rPr>
          <w:szCs w:val="28"/>
        </w:rPr>
        <w:t xml:space="preserve"> τ = </w:t>
      </w:r>
      <w:proofErr w:type="spellStart"/>
      <w:r w:rsidRPr="001A0333">
        <w:rPr>
          <w:i/>
          <w:szCs w:val="28"/>
        </w:rPr>
        <w:t>T</w:t>
      </w:r>
      <w:r w:rsidRPr="001A0333">
        <w:rPr>
          <w:i/>
          <w:szCs w:val="28"/>
          <w:vertAlign w:val="subscript"/>
        </w:rPr>
        <w:t>r</w:t>
      </w:r>
      <w:proofErr w:type="spellEnd"/>
      <w:r w:rsidRPr="001A0333">
        <w:rPr>
          <w:szCs w:val="28"/>
        </w:rPr>
        <w:t>/</w:t>
      </w:r>
      <w:r w:rsidRPr="001A0333">
        <w:rPr>
          <w:i/>
          <w:szCs w:val="28"/>
        </w:rPr>
        <w:t>T</w:t>
      </w:r>
      <w:r w:rsidRPr="001A0333">
        <w:rPr>
          <w:szCs w:val="28"/>
        </w:rPr>
        <w:t xml:space="preserve">; </w:t>
      </w:r>
      <w:proofErr w:type="spellStart"/>
      <w:r w:rsidRPr="009625AB">
        <w:rPr>
          <w:i/>
          <w:szCs w:val="28"/>
        </w:rPr>
        <w:t>ρ</w:t>
      </w:r>
      <w:r w:rsidRPr="009625AB">
        <w:rPr>
          <w:i/>
          <w:szCs w:val="28"/>
          <w:vertAlign w:val="subscript"/>
        </w:rPr>
        <w:t>r</w:t>
      </w:r>
      <w:proofErr w:type="spellEnd"/>
      <w:r w:rsidRPr="001A0333">
        <w:rPr>
          <w:szCs w:val="28"/>
        </w:rPr>
        <w:t xml:space="preserve">, </w:t>
      </w:r>
      <w:proofErr w:type="spellStart"/>
      <w:r w:rsidRPr="001A0333">
        <w:rPr>
          <w:i/>
          <w:szCs w:val="28"/>
        </w:rPr>
        <w:t>T</w:t>
      </w:r>
      <w:r w:rsidRPr="001A0333">
        <w:rPr>
          <w:i/>
          <w:szCs w:val="28"/>
          <w:vertAlign w:val="subscript"/>
        </w:rPr>
        <w:t>r</w:t>
      </w:r>
      <w:proofErr w:type="spellEnd"/>
      <w:r w:rsidRPr="001A0333">
        <w:rPr>
          <w:szCs w:val="28"/>
        </w:rPr>
        <w:t xml:space="preserve"> – опорные значения плотн</w:t>
      </w:r>
      <w:r w:rsidRPr="001A0333">
        <w:rPr>
          <w:szCs w:val="28"/>
        </w:rPr>
        <w:t>о</w:t>
      </w:r>
      <w:r w:rsidRPr="001A0333">
        <w:rPr>
          <w:szCs w:val="28"/>
        </w:rPr>
        <w:t>сти и температуры</w:t>
      </w:r>
      <w:r>
        <w:rPr>
          <w:szCs w:val="28"/>
        </w:rPr>
        <w:t xml:space="preserve">. </w:t>
      </w:r>
      <w:r w:rsidRPr="001A0333">
        <w:rPr>
          <w:szCs w:val="28"/>
        </w:rPr>
        <w:t xml:space="preserve">В </w:t>
      </w:r>
      <w:r>
        <w:rPr>
          <w:szCs w:val="28"/>
        </w:rPr>
        <w:t xml:space="preserve">уравнениях в </w:t>
      </w:r>
      <w:r w:rsidRPr="001A0333">
        <w:rPr>
          <w:szCs w:val="28"/>
        </w:rPr>
        <w:t>качестве параметров приведения использ</w:t>
      </w:r>
      <w:r w:rsidRPr="001A0333">
        <w:rPr>
          <w:szCs w:val="28"/>
        </w:rPr>
        <w:t>у</w:t>
      </w:r>
      <w:r w:rsidRPr="001A0333">
        <w:rPr>
          <w:szCs w:val="28"/>
        </w:rPr>
        <w:t xml:space="preserve">ются критические </w:t>
      </w:r>
      <w:r>
        <w:rPr>
          <w:szCs w:val="28"/>
        </w:rPr>
        <w:t xml:space="preserve">значения, то есть </w:t>
      </w:r>
      <w:proofErr w:type="spellStart"/>
      <w:r w:rsidRPr="009B568E">
        <w:rPr>
          <w:i/>
          <w:szCs w:val="28"/>
          <w:lang w:val="en-US"/>
        </w:rPr>
        <w:t>T</w:t>
      </w:r>
      <w:r w:rsidRPr="009B568E">
        <w:rPr>
          <w:i/>
          <w:szCs w:val="28"/>
          <w:vertAlign w:val="subscript"/>
          <w:lang w:val="en-US"/>
        </w:rPr>
        <w:t>r</w:t>
      </w:r>
      <w:proofErr w:type="spellEnd"/>
      <w:proofErr w:type="gramStart"/>
      <w:r w:rsidRPr="009B568E">
        <w:rPr>
          <w:szCs w:val="28"/>
        </w:rPr>
        <w:t xml:space="preserve"> =</w:t>
      </w:r>
      <w:r>
        <w:rPr>
          <w:szCs w:val="28"/>
        </w:rPr>
        <w:t xml:space="preserve"> </w:t>
      </w:r>
      <w:r w:rsidRPr="006F4FC3">
        <w:rPr>
          <w:i/>
          <w:szCs w:val="28"/>
        </w:rPr>
        <w:t>Т</w:t>
      </w:r>
      <w:proofErr w:type="gramEnd"/>
      <w:r w:rsidRPr="006F4FC3">
        <w:rPr>
          <w:i/>
          <w:szCs w:val="28"/>
          <w:vertAlign w:val="subscript"/>
        </w:rPr>
        <w:t>с</w:t>
      </w:r>
      <w:r w:rsidRPr="001A0333">
        <w:rPr>
          <w:szCs w:val="28"/>
        </w:rPr>
        <w:t xml:space="preserve"> и </w:t>
      </w:r>
      <w:r w:rsidRPr="009B568E">
        <w:rPr>
          <w:i/>
          <w:szCs w:val="28"/>
        </w:rPr>
        <w:t>ρ</w:t>
      </w:r>
      <w:r w:rsidRPr="009B568E">
        <w:rPr>
          <w:i/>
          <w:szCs w:val="28"/>
          <w:vertAlign w:val="subscript"/>
          <w:lang w:val="en-US"/>
        </w:rPr>
        <w:t>r</w:t>
      </w:r>
      <w:r w:rsidRPr="009B568E">
        <w:rPr>
          <w:szCs w:val="28"/>
        </w:rPr>
        <w:t xml:space="preserve"> = </w:t>
      </w:r>
      <w:proofErr w:type="spellStart"/>
      <w:r w:rsidRPr="006F4FC3">
        <w:rPr>
          <w:i/>
          <w:szCs w:val="28"/>
        </w:rPr>
        <w:t>ρ</w:t>
      </w:r>
      <w:r w:rsidRPr="006F4FC3">
        <w:rPr>
          <w:i/>
          <w:szCs w:val="28"/>
          <w:vertAlign w:val="subscript"/>
        </w:rPr>
        <w:t>с</w:t>
      </w:r>
      <w:proofErr w:type="spellEnd"/>
      <w:r w:rsidRPr="001A0333">
        <w:rPr>
          <w:szCs w:val="28"/>
        </w:rPr>
        <w:t>,</w:t>
      </w:r>
      <w:r>
        <w:rPr>
          <w:szCs w:val="28"/>
        </w:rPr>
        <w:t xml:space="preserve"> а в качестве </w:t>
      </w:r>
      <w:r w:rsidRPr="001A0333">
        <w:rPr>
          <w:szCs w:val="28"/>
        </w:rPr>
        <w:t xml:space="preserve"> критери</w:t>
      </w:r>
      <w:r>
        <w:rPr>
          <w:szCs w:val="28"/>
        </w:rPr>
        <w:t>я</w:t>
      </w:r>
      <w:r w:rsidRPr="001A0333">
        <w:rPr>
          <w:szCs w:val="28"/>
        </w:rPr>
        <w:t xml:space="preserve"> п</w:t>
      </w:r>
      <w:r w:rsidRPr="001A0333">
        <w:rPr>
          <w:szCs w:val="28"/>
        </w:rPr>
        <w:t>о</w:t>
      </w:r>
      <w:r w:rsidRPr="001A0333">
        <w:rPr>
          <w:szCs w:val="28"/>
        </w:rPr>
        <w:t xml:space="preserve">добия – фактор </w:t>
      </w:r>
      <w:proofErr w:type="spellStart"/>
      <w:r w:rsidRPr="001A0333">
        <w:rPr>
          <w:szCs w:val="28"/>
        </w:rPr>
        <w:t>ацентричности</w:t>
      </w:r>
      <w:proofErr w:type="spellEnd"/>
      <w:r w:rsidRPr="001A0333">
        <w:rPr>
          <w:szCs w:val="28"/>
        </w:rPr>
        <w:t xml:space="preserve"> </w:t>
      </w:r>
      <w:proofErr w:type="spellStart"/>
      <w:r w:rsidRPr="001A0333">
        <w:rPr>
          <w:szCs w:val="28"/>
        </w:rPr>
        <w:t>Питцера</w:t>
      </w:r>
      <w:proofErr w:type="spellEnd"/>
      <w:r>
        <w:rPr>
          <w:szCs w:val="28"/>
        </w:rPr>
        <w:t xml:space="preserve"> ω</w:t>
      </w:r>
      <w:r w:rsidRPr="001A0333">
        <w:rPr>
          <w:szCs w:val="28"/>
        </w:rPr>
        <w:t>.</w:t>
      </w:r>
    </w:p>
    <w:p w:rsidR="008D36A2" w:rsidRPr="001A0333" w:rsidRDefault="008D36A2" w:rsidP="008D36A2">
      <w:pPr>
        <w:spacing w:line="240" w:lineRule="auto"/>
        <w:ind w:firstLine="708"/>
        <w:rPr>
          <w:szCs w:val="28"/>
        </w:rPr>
      </w:pPr>
      <w:r w:rsidRPr="001A0333">
        <w:rPr>
          <w:szCs w:val="28"/>
        </w:rPr>
        <w:t>Идеальная часть определяется по соотношению</w:t>
      </w:r>
    </w:p>
    <w:p w:rsidR="008D36A2" w:rsidRPr="001A0333" w:rsidRDefault="008D36A2" w:rsidP="008D36A2">
      <w:pPr>
        <w:spacing w:line="240" w:lineRule="auto"/>
        <w:ind w:firstLine="708"/>
        <w:rPr>
          <w:szCs w:val="28"/>
        </w:rPr>
      </w:pPr>
      <w:r w:rsidRPr="001A0333">
        <w:rPr>
          <w:position w:val="-34"/>
          <w:szCs w:val="28"/>
        </w:rPr>
        <w:object w:dxaOrig="5280" w:dyaOrig="780">
          <v:shape id="_x0000_i1026" type="#_x0000_t75" style="width:321pt;height:47.25pt" o:ole="">
            <v:imagedata r:id="rId9" o:title=""/>
          </v:shape>
          <o:OLEObject Type="Embed" ProgID="Equation.3" ShapeID="_x0000_i1026" DrawAspect="Content" ObjectID="_1469526202" r:id="rId10"/>
        </w:object>
      </w:r>
      <w:r w:rsidRPr="001A0333">
        <w:rPr>
          <w:szCs w:val="28"/>
        </w:rPr>
        <w:t xml:space="preserve">        </w:t>
      </w:r>
      <w:r w:rsidR="0054263D">
        <w:rPr>
          <w:szCs w:val="28"/>
        </w:rPr>
        <w:t xml:space="preserve">                </w:t>
      </w:r>
      <w:r w:rsidRPr="001A0333">
        <w:rPr>
          <w:szCs w:val="28"/>
        </w:rPr>
        <w:t>(</w:t>
      </w:r>
      <w:r w:rsidR="0054263D">
        <w:rPr>
          <w:szCs w:val="28"/>
        </w:rPr>
        <w:t>2</w:t>
      </w:r>
      <w:r w:rsidRPr="001A0333">
        <w:rPr>
          <w:szCs w:val="28"/>
        </w:rPr>
        <w:t>)</w:t>
      </w:r>
    </w:p>
    <w:p w:rsidR="008D36A2" w:rsidRPr="001A0333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t>где δ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 xml:space="preserve"> = ρ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>/ρ</w:t>
      </w:r>
      <w:r w:rsidRPr="001A0333">
        <w:rPr>
          <w:szCs w:val="28"/>
          <w:vertAlign w:val="subscript"/>
        </w:rPr>
        <w:t xml:space="preserve">с </w:t>
      </w:r>
      <w:r w:rsidRPr="001A0333">
        <w:rPr>
          <w:szCs w:val="28"/>
        </w:rPr>
        <w:t>– приведенная идеально-газовая плотность при р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 xml:space="preserve"> = 101325 Па и температуре </w:t>
      </w:r>
      <w:r w:rsidRPr="001A0333">
        <w:rPr>
          <w:i/>
          <w:szCs w:val="28"/>
        </w:rPr>
        <w:t>Т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 xml:space="preserve"> = 298,15</w:t>
      </w:r>
      <w:proofErr w:type="gramStart"/>
      <w:r w:rsidRPr="001A0333">
        <w:rPr>
          <w:szCs w:val="28"/>
        </w:rPr>
        <w:t xml:space="preserve"> К</w:t>
      </w:r>
      <w:proofErr w:type="gramEnd"/>
      <w:r w:rsidRPr="001A0333">
        <w:rPr>
          <w:szCs w:val="28"/>
        </w:rPr>
        <w:t>; τ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 xml:space="preserve"> = </w:t>
      </w:r>
      <w:proofErr w:type="spellStart"/>
      <w:r w:rsidRPr="001A0333">
        <w:rPr>
          <w:i/>
          <w:szCs w:val="28"/>
        </w:rPr>
        <w:t>T</w:t>
      </w:r>
      <w:r w:rsidRPr="001A0333">
        <w:rPr>
          <w:i/>
          <w:szCs w:val="28"/>
          <w:vertAlign w:val="subscript"/>
        </w:rPr>
        <w:t>c</w:t>
      </w:r>
      <w:proofErr w:type="spellEnd"/>
      <w:r w:rsidRPr="001A0333">
        <w:rPr>
          <w:szCs w:val="28"/>
        </w:rPr>
        <w:t>/</w:t>
      </w:r>
      <w:r w:rsidRPr="001A0333">
        <w:rPr>
          <w:i/>
          <w:szCs w:val="28"/>
        </w:rPr>
        <w:t>T</w:t>
      </w:r>
      <w:r w:rsidRPr="001A0333">
        <w:rPr>
          <w:szCs w:val="28"/>
          <w:vertAlign w:val="subscript"/>
        </w:rPr>
        <w:t>0</w:t>
      </w:r>
      <w:r w:rsidRPr="001A0333">
        <w:rPr>
          <w:szCs w:val="28"/>
        </w:rPr>
        <w:t xml:space="preserve">; </w:t>
      </w:r>
      <w:r w:rsidRPr="001A0333">
        <w:rPr>
          <w:i/>
          <w:szCs w:val="28"/>
        </w:rPr>
        <w:t>H</w:t>
      </w:r>
      <w:r w:rsidRPr="001A0333">
        <w:rPr>
          <w:szCs w:val="28"/>
          <w:vertAlign w:val="superscript"/>
        </w:rPr>
        <w:t>0</w:t>
      </w:r>
      <w:r w:rsidRPr="001A0333">
        <w:rPr>
          <w:szCs w:val="28"/>
          <w:vertAlign w:val="subscript"/>
        </w:rPr>
        <w:t>o</w:t>
      </w:r>
      <w:r w:rsidRPr="001A0333">
        <w:rPr>
          <w:szCs w:val="28"/>
        </w:rPr>
        <w:t xml:space="preserve"> – идеально-газовая энтальпия в опорной точке;  </w:t>
      </w:r>
      <w:r w:rsidRPr="001A0333">
        <w:rPr>
          <w:i/>
          <w:szCs w:val="28"/>
        </w:rPr>
        <w:t>S</w:t>
      </w:r>
      <w:r w:rsidRPr="001A0333">
        <w:rPr>
          <w:szCs w:val="28"/>
          <w:vertAlign w:val="superscript"/>
        </w:rPr>
        <w:t>0</w:t>
      </w:r>
      <w:r w:rsidRPr="001A0333">
        <w:rPr>
          <w:szCs w:val="28"/>
          <w:vertAlign w:val="subscript"/>
        </w:rPr>
        <w:t>o</w:t>
      </w:r>
      <w:r w:rsidRPr="001A0333">
        <w:rPr>
          <w:szCs w:val="28"/>
        </w:rPr>
        <w:t xml:space="preserve"> – идеально-газовая энтропия в опорной точке</w:t>
      </w:r>
      <w:r>
        <w:rPr>
          <w:szCs w:val="28"/>
        </w:rPr>
        <w:t xml:space="preserve">;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p</m:t>
            </m:r>
          </m:sub>
          <m:sup>
            <m:r>
              <w:rPr>
                <w:rFonts w:ascii="Cambria Math" w:hAnsi="Cambria Math"/>
                <w:szCs w:val="28"/>
              </w:rPr>
              <m:t>0</m:t>
            </m:r>
          </m:sup>
        </m:sSubSup>
      </m:oMath>
      <w:r w:rsidRPr="001316D1">
        <w:rPr>
          <w:szCs w:val="28"/>
        </w:rPr>
        <w:t xml:space="preserve"> – </w:t>
      </w:r>
      <w:r>
        <w:rPr>
          <w:szCs w:val="28"/>
        </w:rPr>
        <w:t>идеал</w:t>
      </w:r>
      <w:r>
        <w:rPr>
          <w:szCs w:val="28"/>
        </w:rPr>
        <w:t>ь</w:t>
      </w:r>
      <w:r>
        <w:rPr>
          <w:szCs w:val="28"/>
        </w:rPr>
        <w:t xml:space="preserve">но-газовая изобарная </w:t>
      </w:r>
      <w:r w:rsidR="00143A91">
        <w:rPr>
          <w:szCs w:val="28"/>
        </w:rPr>
        <w:t>теплоёмкость</w:t>
      </w:r>
      <w:bookmarkStart w:id="0" w:name="_GoBack"/>
      <w:bookmarkEnd w:id="0"/>
      <w:r w:rsidRPr="001A0333">
        <w:rPr>
          <w:szCs w:val="28"/>
        </w:rPr>
        <w:t xml:space="preserve">. </w:t>
      </w:r>
    </w:p>
    <w:p w:rsidR="008D36A2" w:rsidRPr="001A0333" w:rsidRDefault="008D36A2" w:rsidP="008D36A2">
      <w:pPr>
        <w:tabs>
          <w:tab w:val="left" w:pos="1134"/>
        </w:tabs>
        <w:spacing w:line="240" w:lineRule="auto"/>
        <w:rPr>
          <w:szCs w:val="28"/>
        </w:rPr>
      </w:pPr>
      <w:r w:rsidRPr="001A0333">
        <w:rPr>
          <w:szCs w:val="28"/>
        </w:rPr>
        <w:tab/>
        <w:t xml:space="preserve">Для описания избыточной (конфигурационной) части использована функциональная форма уравнения, предложенная </w:t>
      </w:r>
      <w:proofErr w:type="spellStart"/>
      <w:r w:rsidRPr="001A0333">
        <w:rPr>
          <w:szCs w:val="28"/>
        </w:rPr>
        <w:t>Соном</w:t>
      </w:r>
      <w:proofErr w:type="spellEnd"/>
      <w:r w:rsidRPr="001A0333">
        <w:rPr>
          <w:szCs w:val="28"/>
        </w:rPr>
        <w:t xml:space="preserve"> и Эли</w:t>
      </w:r>
      <w:r w:rsidRPr="009625AB">
        <w:rPr>
          <w:szCs w:val="28"/>
        </w:rPr>
        <w:t xml:space="preserve"> [</w:t>
      </w:r>
      <w:r w:rsidR="00363773">
        <w:rPr>
          <w:szCs w:val="28"/>
        </w:rPr>
        <w:t>1</w:t>
      </w:r>
      <w:r w:rsidRPr="009625AB">
        <w:rPr>
          <w:szCs w:val="28"/>
        </w:rPr>
        <w:t>]</w:t>
      </w:r>
      <w:r w:rsidRPr="001A0333">
        <w:rPr>
          <w:szCs w:val="28"/>
        </w:rPr>
        <w:t xml:space="preserve">, применимая для описания термодинамических свойств полярных и неполярных веществ: </w:t>
      </w:r>
    </w:p>
    <w:p w:rsidR="008D36A2" w:rsidRPr="001A0333" w:rsidRDefault="008D36A2" w:rsidP="008D36A2">
      <w:pPr>
        <w:tabs>
          <w:tab w:val="left" w:pos="3404"/>
        </w:tabs>
        <w:spacing w:line="240" w:lineRule="auto"/>
        <w:rPr>
          <w:szCs w:val="28"/>
        </w:rPr>
      </w:pPr>
      <w:r w:rsidRPr="001A0333">
        <w:rPr>
          <w:position w:val="-28"/>
          <w:szCs w:val="28"/>
        </w:rPr>
        <w:object w:dxaOrig="4480" w:dyaOrig="680">
          <v:shape id="_x0000_i1027" type="#_x0000_t75" style="width:265.5pt;height:40.5pt" o:ole="">
            <v:imagedata r:id="rId11" o:title=""/>
          </v:shape>
          <o:OLEObject Type="Embed" ProgID="Equation.3" ShapeID="_x0000_i1027" DrawAspect="Content" ObjectID="_1469526203" r:id="rId12"/>
        </w:object>
      </w:r>
      <w:r w:rsidRPr="001A0333">
        <w:rPr>
          <w:szCs w:val="28"/>
        </w:rPr>
        <w:t xml:space="preserve"> </w:t>
      </w:r>
      <w:r w:rsidRPr="000B561C">
        <w:rPr>
          <w:szCs w:val="28"/>
        </w:rPr>
        <w:t>.</w:t>
      </w:r>
      <w:r w:rsidRPr="001A0333">
        <w:rPr>
          <w:szCs w:val="28"/>
        </w:rPr>
        <w:t xml:space="preserve">                                 </w:t>
      </w:r>
      <w:r w:rsidR="0054263D">
        <w:rPr>
          <w:szCs w:val="28"/>
        </w:rPr>
        <w:t xml:space="preserve">     </w:t>
      </w:r>
      <w:r w:rsidRPr="001A0333">
        <w:rPr>
          <w:szCs w:val="28"/>
        </w:rPr>
        <w:t>(</w:t>
      </w:r>
      <w:r w:rsidR="0054263D">
        <w:rPr>
          <w:szCs w:val="28"/>
        </w:rPr>
        <w:t>3</w:t>
      </w:r>
      <w:r w:rsidRPr="001A0333">
        <w:rPr>
          <w:szCs w:val="28"/>
        </w:rPr>
        <w:t>)</w:t>
      </w:r>
    </w:p>
    <w:p w:rsidR="008D36A2" w:rsidRPr="001A0333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tab/>
        <w:t xml:space="preserve">Коэффициенты </w:t>
      </w:r>
      <w:proofErr w:type="spellStart"/>
      <w:r w:rsidRPr="001A0333">
        <w:rPr>
          <w:i/>
          <w:szCs w:val="28"/>
          <w:lang w:val="en-US"/>
        </w:rPr>
        <w:t>n</w:t>
      </w:r>
      <w:r w:rsidRPr="001A0333">
        <w:rPr>
          <w:i/>
          <w:szCs w:val="28"/>
          <w:vertAlign w:val="subscript"/>
          <w:lang w:val="en-US"/>
        </w:rPr>
        <w:t>i</w:t>
      </w:r>
      <w:proofErr w:type="spellEnd"/>
      <w:r w:rsidRPr="001A0333">
        <w:rPr>
          <w:szCs w:val="28"/>
          <w:vertAlign w:val="subscript"/>
        </w:rPr>
        <w:t xml:space="preserve"> </w:t>
      </w:r>
      <w:r w:rsidRPr="001A0333">
        <w:rPr>
          <w:szCs w:val="28"/>
        </w:rPr>
        <w:t>обобщенного уравнения состояния определяются по следующему соотношению:</w:t>
      </w:r>
    </w:p>
    <w:p w:rsidR="008D36A2" w:rsidRPr="001A0333" w:rsidRDefault="008D36A2" w:rsidP="008D36A2">
      <w:pPr>
        <w:spacing w:line="240" w:lineRule="auto"/>
        <w:rPr>
          <w:szCs w:val="28"/>
        </w:rPr>
      </w:pPr>
      <w:r w:rsidRPr="001A0333">
        <w:rPr>
          <w:position w:val="-14"/>
          <w:szCs w:val="28"/>
        </w:rPr>
        <w:object w:dxaOrig="2380" w:dyaOrig="460">
          <v:shape id="_x0000_i1028" type="#_x0000_t75" style="width:160.5pt;height:31.5pt" o:ole="">
            <v:imagedata r:id="rId13" o:title=""/>
          </v:shape>
          <o:OLEObject Type="Embed" ProgID="Equation.3" ShapeID="_x0000_i1028" DrawAspect="Content" ObjectID="_1469526204" r:id="rId14"/>
        </w:object>
      </w:r>
      <w:r w:rsidRPr="001A0333">
        <w:rPr>
          <w:szCs w:val="28"/>
        </w:rPr>
        <w:t xml:space="preserve">    </w:t>
      </w:r>
      <w:r w:rsidRPr="001A0333">
        <w:rPr>
          <w:szCs w:val="28"/>
        </w:rPr>
        <w:tab/>
      </w:r>
      <w:r w:rsidRPr="001A0333">
        <w:rPr>
          <w:szCs w:val="28"/>
        </w:rPr>
        <w:tab/>
      </w:r>
      <w:r w:rsidRPr="001A0333">
        <w:rPr>
          <w:szCs w:val="28"/>
        </w:rPr>
        <w:tab/>
      </w:r>
      <w:r w:rsidRPr="001A0333">
        <w:rPr>
          <w:szCs w:val="28"/>
        </w:rPr>
        <w:tab/>
        <w:t xml:space="preserve">                               </w:t>
      </w:r>
      <w:r w:rsidR="0054263D">
        <w:rPr>
          <w:szCs w:val="28"/>
        </w:rPr>
        <w:t xml:space="preserve">  </w:t>
      </w:r>
      <w:r w:rsidRPr="001A0333">
        <w:rPr>
          <w:szCs w:val="28"/>
        </w:rPr>
        <w:t>(</w:t>
      </w:r>
      <w:r w:rsidR="0054263D">
        <w:rPr>
          <w:szCs w:val="28"/>
        </w:rPr>
        <w:t>4</w:t>
      </w:r>
      <w:r w:rsidRPr="001A0333">
        <w:rPr>
          <w:szCs w:val="28"/>
        </w:rPr>
        <w:t>)</w:t>
      </w:r>
    </w:p>
    <w:p w:rsidR="008D36A2" w:rsidRPr="001A0333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t xml:space="preserve">где:  ω – фактор </w:t>
      </w:r>
      <w:proofErr w:type="spellStart"/>
      <w:r w:rsidRPr="001A0333">
        <w:rPr>
          <w:szCs w:val="28"/>
        </w:rPr>
        <w:t>ацентричности</w:t>
      </w:r>
      <w:proofErr w:type="spellEnd"/>
      <w:r w:rsidRPr="001A0333">
        <w:rPr>
          <w:szCs w:val="28"/>
        </w:rPr>
        <w:t xml:space="preserve"> </w:t>
      </w:r>
      <w:proofErr w:type="spellStart"/>
      <w:r w:rsidRPr="001A0333">
        <w:rPr>
          <w:szCs w:val="28"/>
        </w:rPr>
        <w:t>Питцера</w:t>
      </w:r>
      <w:proofErr w:type="spellEnd"/>
      <w:r w:rsidRPr="001A0333">
        <w:rPr>
          <w:szCs w:val="28"/>
        </w:rPr>
        <w:t>.</w:t>
      </w:r>
    </w:p>
    <w:p w:rsidR="008D36A2" w:rsidRPr="001A0333" w:rsidRDefault="008D36A2" w:rsidP="008D36A2">
      <w:pPr>
        <w:spacing w:line="240" w:lineRule="auto"/>
        <w:ind w:firstLine="708"/>
        <w:rPr>
          <w:szCs w:val="28"/>
        </w:rPr>
      </w:pPr>
      <w:r w:rsidRPr="001A0333">
        <w:rPr>
          <w:szCs w:val="28"/>
        </w:rPr>
        <w:t xml:space="preserve">Поиск коэффициентов </w:t>
      </w:r>
      <w:r w:rsidRPr="001A0333">
        <w:rPr>
          <w:i/>
          <w:szCs w:val="28"/>
        </w:rPr>
        <w:t>с</w:t>
      </w:r>
      <w:proofErr w:type="gramStart"/>
      <w:r w:rsidRPr="001A0333">
        <w:rPr>
          <w:szCs w:val="28"/>
          <w:vertAlign w:val="subscript"/>
          <w:lang w:val="en-US"/>
        </w:rPr>
        <w:t>j</w:t>
      </w:r>
      <w:proofErr w:type="gramEnd"/>
      <w:r w:rsidRPr="001A0333">
        <w:rPr>
          <w:szCs w:val="28"/>
          <w:vertAlign w:val="subscript"/>
        </w:rPr>
        <w:t>,</w:t>
      </w:r>
      <w:proofErr w:type="spellStart"/>
      <w:r w:rsidRPr="001A0333">
        <w:rPr>
          <w:szCs w:val="28"/>
          <w:vertAlign w:val="subscript"/>
          <w:lang w:val="en-US"/>
        </w:rPr>
        <w:t>i</w:t>
      </w:r>
      <w:proofErr w:type="spellEnd"/>
      <w:r w:rsidRPr="001A0333">
        <w:rPr>
          <w:szCs w:val="28"/>
        </w:rPr>
        <w:t xml:space="preserve"> и степеней при приведенной температуре </w:t>
      </w:r>
      <w:r w:rsidRPr="000B561C">
        <w:rPr>
          <w:i/>
          <w:szCs w:val="28"/>
        </w:rPr>
        <w:t>τ</w:t>
      </w:r>
      <w:proofErr w:type="spellStart"/>
      <w:r w:rsidRPr="000B561C">
        <w:rPr>
          <w:i/>
          <w:szCs w:val="28"/>
          <w:vertAlign w:val="subscript"/>
          <w:lang w:val="en-US"/>
        </w:rPr>
        <w:t>i</w:t>
      </w:r>
      <w:proofErr w:type="spellEnd"/>
      <w:r w:rsidRPr="001A0333">
        <w:rPr>
          <w:szCs w:val="28"/>
        </w:rPr>
        <w:t xml:space="preserve"> осуществлялся одновременно посредством нелинейной оптимизационной пр</w:t>
      </w:r>
      <w:r w:rsidRPr="001A0333">
        <w:rPr>
          <w:szCs w:val="28"/>
        </w:rPr>
        <w:t>о</w:t>
      </w:r>
      <w:r w:rsidRPr="001A0333">
        <w:rPr>
          <w:szCs w:val="28"/>
        </w:rPr>
        <w:t>цедуры.  В качестве нелинейной оптимизационной процедуры была применена модификация метода случайного поиска с возвратом при неудачном шаге. А</w:t>
      </w:r>
      <w:r w:rsidRPr="001A0333">
        <w:rPr>
          <w:szCs w:val="28"/>
        </w:rPr>
        <w:t>л</w:t>
      </w:r>
      <w:r w:rsidRPr="001A0333">
        <w:rPr>
          <w:szCs w:val="28"/>
        </w:rPr>
        <w:t>горитм модифицирован введением элементов детерминированного поиска  на шаге корректировки величины шага поиска и выбора направления</w:t>
      </w:r>
      <w:r w:rsidRPr="000B561C">
        <w:rPr>
          <w:szCs w:val="28"/>
        </w:rPr>
        <w:t xml:space="preserve"> [</w:t>
      </w:r>
      <w:r w:rsidR="00363773">
        <w:rPr>
          <w:szCs w:val="28"/>
        </w:rPr>
        <w:t>2</w:t>
      </w:r>
      <w:r w:rsidRPr="000B561C">
        <w:rPr>
          <w:szCs w:val="28"/>
        </w:rPr>
        <w:t>]</w:t>
      </w:r>
      <w:r w:rsidRPr="001A0333">
        <w:rPr>
          <w:szCs w:val="28"/>
        </w:rPr>
        <w:t>.</w:t>
      </w:r>
      <w:r w:rsidRPr="001A0333">
        <w:rPr>
          <w:szCs w:val="28"/>
        </w:rPr>
        <w:tab/>
      </w:r>
    </w:p>
    <w:p w:rsidR="00281FB7" w:rsidRDefault="008D36A2" w:rsidP="008D36A2">
      <w:pPr>
        <w:spacing w:line="240" w:lineRule="auto"/>
        <w:rPr>
          <w:szCs w:val="28"/>
        </w:rPr>
      </w:pPr>
      <w:r w:rsidRPr="00913C6A">
        <w:rPr>
          <w:szCs w:val="28"/>
        </w:rPr>
        <w:tab/>
      </w:r>
      <w:r>
        <w:rPr>
          <w:szCs w:val="28"/>
        </w:rPr>
        <w:t>Для расчета ТДС сложных углеводородных смесей содержащих углев</w:t>
      </w:r>
      <w:r>
        <w:rPr>
          <w:szCs w:val="28"/>
        </w:rPr>
        <w:t>о</w:t>
      </w:r>
      <w:r>
        <w:rPr>
          <w:szCs w:val="28"/>
        </w:rPr>
        <w:t>дороды с числом атомов углерода от пяти и выше (</w:t>
      </w:r>
      <w:r w:rsidRPr="0086022B">
        <w:rPr>
          <w:i/>
          <w:szCs w:val="28"/>
        </w:rPr>
        <w:t>С</w:t>
      </w:r>
      <w:r w:rsidRPr="0086022B">
        <w:rPr>
          <w:szCs w:val="28"/>
          <w:vertAlign w:val="subscript"/>
        </w:rPr>
        <w:t>5+</w:t>
      </w:r>
      <w:r>
        <w:rPr>
          <w:szCs w:val="28"/>
        </w:rPr>
        <w:t>), разработаны два ФУС. Первое уравнение описывает</w:t>
      </w:r>
      <w:r w:rsidRPr="001A0333">
        <w:rPr>
          <w:szCs w:val="28"/>
        </w:rPr>
        <w:t xml:space="preserve"> свойства парафиновых углеводородов (от С</w:t>
      </w:r>
      <w:r w:rsidRPr="001A0333">
        <w:rPr>
          <w:szCs w:val="28"/>
          <w:vertAlign w:val="subscript"/>
        </w:rPr>
        <w:t>5</w:t>
      </w:r>
      <w:r w:rsidRPr="001A0333">
        <w:rPr>
          <w:szCs w:val="28"/>
        </w:rPr>
        <w:t xml:space="preserve"> до С</w:t>
      </w:r>
      <w:r w:rsidRPr="001A0333">
        <w:rPr>
          <w:szCs w:val="28"/>
          <w:vertAlign w:val="subscript"/>
        </w:rPr>
        <w:t>50</w:t>
      </w:r>
      <w:r w:rsidRPr="001A0333">
        <w:rPr>
          <w:szCs w:val="28"/>
        </w:rPr>
        <w:t>)</w:t>
      </w:r>
      <w:r>
        <w:rPr>
          <w:szCs w:val="28"/>
        </w:rPr>
        <w:t>. Результаты тестирования этого уравнения применительно к н-</w:t>
      </w:r>
      <w:proofErr w:type="spellStart"/>
      <w:r>
        <w:rPr>
          <w:szCs w:val="28"/>
        </w:rPr>
        <w:t>алканам</w:t>
      </w:r>
      <w:proofErr w:type="spellEnd"/>
      <w:r>
        <w:rPr>
          <w:szCs w:val="28"/>
        </w:rPr>
        <w:t xml:space="preserve"> представлены в </w:t>
      </w:r>
      <w:r w:rsidRPr="006E308C">
        <w:rPr>
          <w:szCs w:val="28"/>
        </w:rPr>
        <w:t>[</w:t>
      </w:r>
      <w:r w:rsidR="00D558E7">
        <w:rPr>
          <w:szCs w:val="28"/>
        </w:rPr>
        <w:t>3</w:t>
      </w:r>
      <w:r w:rsidRPr="006E308C">
        <w:rPr>
          <w:szCs w:val="28"/>
        </w:rPr>
        <w:t>]</w:t>
      </w:r>
      <w:r>
        <w:rPr>
          <w:szCs w:val="28"/>
        </w:rPr>
        <w:t>. В</w:t>
      </w:r>
      <w:r w:rsidRPr="001A0333">
        <w:rPr>
          <w:szCs w:val="28"/>
        </w:rPr>
        <w:t xml:space="preserve">торое уравнение </w:t>
      </w:r>
      <w:r>
        <w:rPr>
          <w:szCs w:val="28"/>
        </w:rPr>
        <w:t>описывает</w:t>
      </w:r>
      <w:r w:rsidRPr="001A0333">
        <w:rPr>
          <w:szCs w:val="28"/>
        </w:rPr>
        <w:t xml:space="preserve"> свойства углеводородов</w:t>
      </w:r>
      <w:r>
        <w:rPr>
          <w:szCs w:val="28"/>
        </w:rPr>
        <w:t xml:space="preserve"> ци</w:t>
      </w:r>
      <w:r>
        <w:rPr>
          <w:szCs w:val="28"/>
        </w:rPr>
        <w:t>к</w:t>
      </w:r>
      <w:r>
        <w:rPr>
          <w:szCs w:val="28"/>
        </w:rPr>
        <w:t>лического строения (нафтены и арены) получено впервые и результаты его т</w:t>
      </w:r>
      <w:r>
        <w:rPr>
          <w:szCs w:val="28"/>
        </w:rPr>
        <w:t>е</w:t>
      </w:r>
      <w:r>
        <w:rPr>
          <w:szCs w:val="28"/>
        </w:rPr>
        <w:t>стирования применительно к углеводородам будут представлены в отдельной публикации.</w:t>
      </w:r>
      <w:r w:rsidRPr="001A0333">
        <w:rPr>
          <w:szCs w:val="28"/>
        </w:rPr>
        <w:t xml:space="preserve"> </w:t>
      </w:r>
      <w:r w:rsidR="00CF3979">
        <w:rPr>
          <w:szCs w:val="28"/>
        </w:rPr>
        <w:t xml:space="preserve">Следует отметить, что в работах </w:t>
      </w:r>
      <w:r w:rsidR="00CF3979" w:rsidRPr="00CF3979">
        <w:rPr>
          <w:szCs w:val="28"/>
        </w:rPr>
        <w:t>[</w:t>
      </w:r>
      <w:r w:rsidR="00363773">
        <w:rPr>
          <w:szCs w:val="28"/>
        </w:rPr>
        <w:t>4</w:t>
      </w:r>
      <w:r w:rsidR="00D558E7">
        <w:rPr>
          <w:szCs w:val="28"/>
        </w:rPr>
        <w:t>,5</w:t>
      </w:r>
      <w:r w:rsidR="00CF3979" w:rsidRPr="00CF3979">
        <w:rPr>
          <w:szCs w:val="28"/>
        </w:rPr>
        <w:t xml:space="preserve">] </w:t>
      </w:r>
      <w:r w:rsidR="00CF3979">
        <w:rPr>
          <w:szCs w:val="28"/>
        </w:rPr>
        <w:t>мы уже представляли р</w:t>
      </w:r>
      <w:r w:rsidR="00CF3979">
        <w:rPr>
          <w:szCs w:val="28"/>
        </w:rPr>
        <w:t>е</w:t>
      </w:r>
      <w:r w:rsidR="00CF3979">
        <w:rPr>
          <w:szCs w:val="28"/>
        </w:rPr>
        <w:t>зультаты тестирования описываемого метода расчета. Был выявлен рост откл</w:t>
      </w:r>
      <w:r w:rsidR="00CF3979">
        <w:rPr>
          <w:szCs w:val="28"/>
        </w:rPr>
        <w:t>о</w:t>
      </w:r>
      <w:r w:rsidR="00CF3979">
        <w:rPr>
          <w:szCs w:val="28"/>
        </w:rPr>
        <w:t xml:space="preserve">нений, особенно при расчете калорических свойств, при значениях фактора </w:t>
      </w:r>
      <w:proofErr w:type="spellStart"/>
      <w:r w:rsidR="00CF3979">
        <w:rPr>
          <w:szCs w:val="28"/>
        </w:rPr>
        <w:t>ацентричности</w:t>
      </w:r>
      <w:proofErr w:type="spellEnd"/>
      <w:r w:rsidR="00CF3979">
        <w:rPr>
          <w:szCs w:val="28"/>
        </w:rPr>
        <w:t xml:space="preserve"> ω </w:t>
      </w:r>
      <w:r w:rsidR="00CF3979" w:rsidRPr="00CF3979">
        <w:rPr>
          <w:szCs w:val="28"/>
        </w:rPr>
        <w:t xml:space="preserve">&gt; 0,7. </w:t>
      </w:r>
      <w:r w:rsidR="00CF3979">
        <w:rPr>
          <w:szCs w:val="28"/>
        </w:rPr>
        <w:t>Дальнейший анализ показал, что возможной причиной является искажение поверхности состояния в некоторых областях</w:t>
      </w:r>
      <w:r w:rsidR="00281FB7">
        <w:rPr>
          <w:szCs w:val="28"/>
        </w:rPr>
        <w:t xml:space="preserve"> при</w:t>
      </w:r>
      <w:r w:rsidR="00CF3979">
        <w:rPr>
          <w:szCs w:val="28"/>
        </w:rPr>
        <w:t xml:space="preserve"> ω </w:t>
      </w:r>
      <w:r w:rsidR="00CF3979" w:rsidRPr="00CF3979">
        <w:rPr>
          <w:szCs w:val="28"/>
        </w:rPr>
        <w:t>&gt; 0,7</w:t>
      </w:r>
      <w:r w:rsidR="00CF3979">
        <w:rPr>
          <w:szCs w:val="28"/>
        </w:rPr>
        <w:t xml:space="preserve"> ФУС циклических углеводородов. </w:t>
      </w:r>
      <w:r w:rsidR="00281FB7">
        <w:rPr>
          <w:szCs w:val="28"/>
        </w:rPr>
        <w:t xml:space="preserve">Поэтому было разработано новое ФУС для </w:t>
      </w:r>
      <w:r w:rsidR="00281FB7">
        <w:rPr>
          <w:szCs w:val="28"/>
        </w:rPr>
        <w:lastRenderedPageBreak/>
        <w:t>углеводородов циклического строения и в докладе будут представлены резул</w:t>
      </w:r>
      <w:r w:rsidR="00281FB7">
        <w:rPr>
          <w:szCs w:val="28"/>
        </w:rPr>
        <w:t>ь</w:t>
      </w:r>
      <w:r w:rsidR="00281FB7">
        <w:rPr>
          <w:szCs w:val="28"/>
        </w:rPr>
        <w:t xml:space="preserve">таты тестирования предлагаемой методики с применением нового </w:t>
      </w:r>
      <w:r w:rsidR="00363773">
        <w:rPr>
          <w:szCs w:val="28"/>
        </w:rPr>
        <w:t>ФУС</w:t>
      </w:r>
      <w:r w:rsidR="00281FB7">
        <w:rPr>
          <w:szCs w:val="28"/>
        </w:rPr>
        <w:t>.</w:t>
      </w:r>
    </w:p>
    <w:p w:rsidR="00281FB7" w:rsidRDefault="008D36A2" w:rsidP="008D36A2">
      <w:pPr>
        <w:spacing w:line="240" w:lineRule="auto"/>
        <w:rPr>
          <w:szCs w:val="28"/>
        </w:rPr>
      </w:pPr>
      <w:r w:rsidRPr="001A0333">
        <w:rPr>
          <w:szCs w:val="28"/>
        </w:rPr>
        <w:t>Уравнения применимы в диапазоне температуры от тройной точки до 700</w:t>
      </w:r>
      <w:proofErr w:type="gramStart"/>
      <w:r w:rsidRPr="001A0333">
        <w:rPr>
          <w:szCs w:val="28"/>
        </w:rPr>
        <w:t xml:space="preserve"> К</w:t>
      </w:r>
      <w:proofErr w:type="gramEnd"/>
      <w:r w:rsidRPr="001A0333">
        <w:rPr>
          <w:szCs w:val="28"/>
        </w:rPr>
        <w:t xml:space="preserve"> при давлении до 100 МПа.</w:t>
      </w:r>
    </w:p>
    <w:p w:rsidR="008D36A2" w:rsidRDefault="008D36A2" w:rsidP="008D36A2">
      <w:pPr>
        <w:spacing w:line="240" w:lineRule="auto"/>
        <w:rPr>
          <w:szCs w:val="28"/>
        </w:rPr>
      </w:pPr>
      <w:r>
        <w:rPr>
          <w:szCs w:val="28"/>
        </w:rPr>
        <w:t>Плотность рассчитывалась численным решением уравнения (</w:t>
      </w:r>
      <w:r w:rsidR="00D558E7">
        <w:rPr>
          <w:szCs w:val="28"/>
        </w:rPr>
        <w:t>5</w:t>
      </w:r>
      <w:r>
        <w:rPr>
          <w:szCs w:val="28"/>
        </w:rPr>
        <w:t>), а изоба</w:t>
      </w:r>
      <w:r>
        <w:rPr>
          <w:szCs w:val="28"/>
        </w:rPr>
        <w:t>р</w:t>
      </w:r>
      <w:r>
        <w:rPr>
          <w:szCs w:val="28"/>
        </w:rPr>
        <w:t>ная теплоемкость рассчитывалась по уравнению (</w:t>
      </w:r>
      <w:r w:rsidR="00D558E7">
        <w:rPr>
          <w:szCs w:val="28"/>
        </w:rPr>
        <w:t>6</w:t>
      </w:r>
      <w:r>
        <w:rPr>
          <w:szCs w:val="28"/>
        </w:rPr>
        <w:t>).</w:t>
      </w:r>
    </w:p>
    <w:p w:rsidR="008D36A2" w:rsidRPr="002B54B8" w:rsidRDefault="00143A91" w:rsidP="008D36A2">
      <w:pPr>
        <w:spacing w:line="240" w:lineRule="auto"/>
        <w:rPr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p</m:t>
              </m:r>
            </m:num>
            <m:den>
              <m:r>
                <w:rPr>
                  <w:rFonts w:ascii="Cambria Math" w:hAnsi="Cambria Math"/>
                  <w:szCs w:val="28"/>
                </w:rPr>
                <m:t>ρRT</m:t>
              </m:r>
            </m:den>
          </m:f>
          <m:r>
            <w:rPr>
              <w:rFonts w:ascii="Cambria Math" w:hAnsi="Cambria Math"/>
              <w:szCs w:val="28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Cs w:val="28"/>
                </w:rPr>
                <m:t>1+ δα</m:t>
              </m:r>
            </m:e>
            <m:sub>
              <m:r>
                <w:rPr>
                  <w:rFonts w:ascii="Cambria Math" w:hAnsi="Cambria Math"/>
                  <w:szCs w:val="28"/>
                </w:rPr>
                <m:t>δ</m:t>
              </m:r>
            </m:sub>
            <m:sup>
              <m:r>
                <w:rPr>
                  <w:rFonts w:ascii="Cambria Math" w:hAnsi="Cambria Math"/>
                  <w:szCs w:val="28"/>
                </w:rPr>
                <m:t>r</m:t>
              </m:r>
            </m:sup>
          </m:sSubSup>
          <m:r>
            <w:rPr>
              <w:rFonts w:ascii="Cambria Math" w:hAnsi="Cambria Math"/>
              <w:szCs w:val="28"/>
            </w:rPr>
            <m:t>,                                                                                                       (5)</m:t>
          </m:r>
        </m:oMath>
      </m:oMathPara>
    </w:p>
    <w:p w:rsidR="008D36A2" w:rsidRDefault="008D36A2" w:rsidP="008D36A2">
      <w:pPr>
        <w:spacing w:line="240" w:lineRule="auto"/>
        <w:rPr>
          <w:szCs w:val="28"/>
        </w:rPr>
      </w:pPr>
    </w:p>
    <w:p w:rsidR="008D36A2" w:rsidRPr="00913C6A" w:rsidRDefault="00143A91" w:rsidP="008D36A2">
      <w:pPr>
        <w:spacing w:line="240" w:lineRule="auto"/>
        <w:rPr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  <w:szCs w:val="28"/>
                </w:rPr>
                <m:t>R</m:t>
              </m:r>
            </m:den>
          </m:f>
          <m:r>
            <w:rPr>
              <w:rFonts w:ascii="Cambria Math" w:hAnsi="Cambria Math"/>
              <w:szCs w:val="28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Cs w:val="28"/>
                </w:rPr>
                <m:t>v</m:t>
              </m:r>
            </m:sub>
            <m:sup>
              <m:r>
                <w:rPr>
                  <w:rFonts w:ascii="Cambria Math" w:hAnsi="Cambria Math"/>
                  <w:szCs w:val="28"/>
                </w:rPr>
                <m:t>0</m:t>
              </m:r>
            </m:sup>
          </m:sSubSup>
          <m:r>
            <w:rPr>
              <w:rFonts w:ascii="Cambria Math" w:hAnsi="Cambria Math"/>
              <w:szCs w:val="28"/>
            </w:rPr>
            <m:t xml:space="preserve">-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>τ</m:t>
              </m:r>
            </m:e>
            <m:sup>
              <m:r>
                <w:rPr>
                  <w:rFonts w:ascii="Cambria Math" w:hAnsi="Cambria Math"/>
                  <w:szCs w:val="2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Cs w:val="28"/>
                </w:rPr>
                <m:t>α</m:t>
              </m:r>
            </m:e>
            <m:sub>
              <m:r>
                <w:rPr>
                  <w:rFonts w:ascii="Cambria Math" w:hAnsi="Cambria Math"/>
                  <w:szCs w:val="28"/>
                </w:rPr>
                <m:t>ττ</m:t>
              </m:r>
            </m:sub>
            <m:sup>
              <m:r>
                <w:rPr>
                  <w:rFonts w:ascii="Cambria Math" w:hAnsi="Cambria Math"/>
                  <w:szCs w:val="28"/>
                </w:rPr>
                <m:t>r</m:t>
              </m:r>
            </m:sup>
          </m:sSubSup>
          <m:r>
            <w:rPr>
              <w:rFonts w:ascii="Cambria Math" w:hAnsi="Cambria Math"/>
              <w:szCs w:val="28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(1+ 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δ</m:t>
                      </m:r>
                    </m:sub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r</m:t>
                      </m:r>
                    </m:sup>
                  </m:sSubSup>
                  <m:r>
                    <w:rPr>
                      <w:rFonts w:ascii="Cambria Math" w:hAnsi="Cambria Math"/>
                      <w:szCs w:val="28"/>
                    </w:rPr>
                    <m:t>- 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τα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δτ</m:t>
                      </m:r>
                    </m:sub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r</m:t>
                      </m:r>
                    </m:sup>
                  </m:sSubSup>
                  <m:r>
                    <w:rPr>
                      <w:rFonts w:ascii="Cambria Math" w:hAnsi="Cambria Math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8"/>
                </w:rPr>
                <m:t>1+2δ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δ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r</m:t>
                  </m:r>
                </m:sup>
              </m:sSubSup>
              <m:r>
                <w:rPr>
                  <w:rFonts w:ascii="Cambria Math" w:hAnsi="Cambria Math"/>
                  <w:szCs w:val="28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δδ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r</m:t>
                  </m:r>
                </m:sup>
              </m:sSubSup>
            </m:den>
          </m:f>
          <m:r>
            <w:rPr>
              <w:rFonts w:ascii="Cambria Math" w:hAnsi="Cambria Math"/>
              <w:szCs w:val="28"/>
            </w:rPr>
            <m:t xml:space="preserve">,                                                            (6)    </m:t>
          </m:r>
        </m:oMath>
      </m:oMathPara>
    </w:p>
    <w:p w:rsidR="008D36A2" w:rsidRDefault="008D36A2" w:rsidP="008D36A2">
      <w:pPr>
        <w:spacing w:line="240" w:lineRule="auto"/>
        <w:rPr>
          <w:szCs w:val="28"/>
        </w:rPr>
      </w:pPr>
    </w:p>
    <w:p w:rsidR="008D36A2" w:rsidRDefault="008D36A2" w:rsidP="008D36A2">
      <w:pPr>
        <w:spacing w:line="240" w:lineRule="auto"/>
        <w:rPr>
          <w:szCs w:val="28"/>
        </w:rPr>
      </w:pPr>
      <w:r>
        <w:rPr>
          <w:szCs w:val="28"/>
        </w:rPr>
        <w:t xml:space="preserve">где 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v</m:t>
            </m:r>
          </m:sub>
          <m:sup>
            <m:r>
              <w:rPr>
                <w:rFonts w:ascii="Cambria Math" w:hAnsi="Cambria Math"/>
                <w:szCs w:val="28"/>
              </w:rPr>
              <m:t>0</m:t>
            </m:r>
          </m:sup>
        </m:sSubSup>
      </m:oMath>
      <w:r>
        <w:rPr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Cs w:val="28"/>
              </w:rPr>
              <m:t>p</m:t>
            </m:r>
          </m:sub>
          <m:sup>
            <m:r>
              <w:rPr>
                <w:rFonts w:ascii="Cambria Math" w:hAnsi="Cambria Math"/>
                <w:szCs w:val="28"/>
              </w:rPr>
              <m:t>0</m:t>
            </m:r>
          </m:sup>
        </m:sSubSup>
        <m:r>
          <w:rPr>
            <w:rFonts w:ascii="Cambria Math" w:hAnsi="Cambria Math"/>
            <w:szCs w:val="28"/>
          </w:rPr>
          <m:t xml:space="preserve">- </m:t>
        </m:r>
        <m:r>
          <w:rPr>
            <w:rFonts w:ascii="Cambria Math" w:hAnsi="Cambria Math"/>
            <w:szCs w:val="28"/>
            <w:lang w:val="en-US"/>
          </w:rPr>
          <m:t>R</m:t>
        </m:r>
      </m:oMath>
      <w:r w:rsidRPr="001316D1">
        <w:rPr>
          <w:szCs w:val="28"/>
        </w:rPr>
        <w:t xml:space="preserve">; </w:t>
      </w:r>
      <w:r>
        <w:rPr>
          <w:szCs w:val="28"/>
        </w:rPr>
        <w:t xml:space="preserve">нижний индекс </w:t>
      </w: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α указывает переменную, по которой производится дифференцирование. Формулы производных термодинамическ</w:t>
      </w:r>
      <w:r>
        <w:rPr>
          <w:szCs w:val="28"/>
        </w:rPr>
        <w:t>о</w:t>
      </w:r>
      <w:r>
        <w:rPr>
          <w:szCs w:val="28"/>
        </w:rPr>
        <w:t xml:space="preserve">го потенциала представлены, например в </w:t>
      </w:r>
      <w:r w:rsidRPr="006F2A6C">
        <w:rPr>
          <w:szCs w:val="28"/>
        </w:rPr>
        <w:t>[</w:t>
      </w:r>
      <w:r w:rsidR="00D558E7">
        <w:rPr>
          <w:szCs w:val="28"/>
        </w:rPr>
        <w:t>6</w:t>
      </w:r>
      <w:r w:rsidRPr="006F2A6C">
        <w:rPr>
          <w:szCs w:val="28"/>
        </w:rPr>
        <w:t>].</w:t>
      </w:r>
    </w:p>
    <w:p w:rsidR="003B2D93" w:rsidRDefault="003B2D93" w:rsidP="003B2D93">
      <w:pPr>
        <w:spacing w:line="240" w:lineRule="auto"/>
        <w:rPr>
          <w:szCs w:val="28"/>
        </w:rPr>
      </w:pPr>
      <w:r w:rsidRPr="003B2D93">
        <w:rPr>
          <w:szCs w:val="28"/>
        </w:rPr>
        <w:t>Расчет ТДС производится в рамках «</w:t>
      </w:r>
      <w:proofErr w:type="spellStart"/>
      <w:r w:rsidRPr="003B2D93">
        <w:rPr>
          <w:szCs w:val="28"/>
        </w:rPr>
        <w:t>квазиодножидкостной</w:t>
      </w:r>
      <w:proofErr w:type="spellEnd"/>
      <w:r w:rsidRPr="003B2D93">
        <w:rPr>
          <w:szCs w:val="28"/>
        </w:rPr>
        <w:t>» модели – у</w:t>
      </w:r>
      <w:r w:rsidRPr="003B2D93">
        <w:rPr>
          <w:szCs w:val="28"/>
        </w:rPr>
        <w:t>г</w:t>
      </w:r>
      <w:r w:rsidRPr="003B2D93">
        <w:rPr>
          <w:szCs w:val="28"/>
        </w:rPr>
        <w:t>леводородная фракция рассматривается как вещество, состоящее из двух ко</w:t>
      </w:r>
      <w:r w:rsidRPr="003B2D93">
        <w:rPr>
          <w:szCs w:val="28"/>
        </w:rPr>
        <w:t>м</w:t>
      </w:r>
      <w:r w:rsidRPr="003B2D93">
        <w:rPr>
          <w:szCs w:val="28"/>
        </w:rPr>
        <w:t>понентов – н-</w:t>
      </w:r>
      <w:proofErr w:type="spellStart"/>
      <w:r w:rsidRPr="003B2D93">
        <w:rPr>
          <w:szCs w:val="28"/>
        </w:rPr>
        <w:t>алкан</w:t>
      </w:r>
      <w:proofErr w:type="spellEnd"/>
      <w:r w:rsidRPr="003B2D93">
        <w:rPr>
          <w:szCs w:val="28"/>
        </w:rPr>
        <w:t xml:space="preserve"> и углеводород циклической структуры, характеризующиеся одинаковыми значениями критической температуры</w:t>
      </w:r>
      <w:proofErr w:type="gramStart"/>
      <w:r w:rsidRPr="003B2D93">
        <w:rPr>
          <w:szCs w:val="28"/>
        </w:rPr>
        <w:t xml:space="preserve"> </w:t>
      </w:r>
      <w:r w:rsidRPr="003B2D93">
        <w:rPr>
          <w:i/>
          <w:szCs w:val="28"/>
        </w:rPr>
        <w:t>Т</w:t>
      </w:r>
      <w:proofErr w:type="gramEnd"/>
      <w:r w:rsidRPr="003B2D93">
        <w:rPr>
          <w:i/>
          <w:szCs w:val="28"/>
          <w:vertAlign w:val="subscript"/>
        </w:rPr>
        <w:t>с</w:t>
      </w:r>
      <w:r w:rsidRPr="003B2D93">
        <w:rPr>
          <w:szCs w:val="28"/>
        </w:rPr>
        <w:t xml:space="preserve"> и плотности ρ</w:t>
      </w:r>
      <w:r w:rsidRPr="003B2D93">
        <w:rPr>
          <w:szCs w:val="28"/>
          <w:vertAlign w:val="subscript"/>
        </w:rPr>
        <w:t>с</w:t>
      </w:r>
      <w:r w:rsidRPr="003B2D93">
        <w:rPr>
          <w:szCs w:val="28"/>
        </w:rPr>
        <w:t xml:space="preserve"> (для см</w:t>
      </w:r>
      <w:r w:rsidRPr="003B2D93">
        <w:rPr>
          <w:szCs w:val="28"/>
        </w:rPr>
        <w:t>е</w:t>
      </w:r>
      <w:r w:rsidRPr="003B2D93">
        <w:rPr>
          <w:szCs w:val="28"/>
        </w:rPr>
        <w:t xml:space="preserve">сей используются </w:t>
      </w:r>
      <w:proofErr w:type="spellStart"/>
      <w:r w:rsidRPr="003B2D93">
        <w:rPr>
          <w:szCs w:val="28"/>
        </w:rPr>
        <w:t>псевдокритические</w:t>
      </w:r>
      <w:proofErr w:type="spellEnd"/>
      <w:r w:rsidRPr="003B2D93">
        <w:rPr>
          <w:szCs w:val="28"/>
        </w:rPr>
        <w:t xml:space="preserve"> свойства) и фактором </w:t>
      </w:r>
      <w:proofErr w:type="spellStart"/>
      <w:r w:rsidRPr="003B2D93">
        <w:rPr>
          <w:szCs w:val="28"/>
        </w:rPr>
        <w:t>ацентричности</w:t>
      </w:r>
      <w:proofErr w:type="spellEnd"/>
      <w:r w:rsidRPr="003B2D93">
        <w:rPr>
          <w:szCs w:val="28"/>
        </w:rPr>
        <w:t xml:space="preserve"> </w:t>
      </w:r>
      <w:proofErr w:type="spellStart"/>
      <w:r w:rsidRPr="003B2D93">
        <w:rPr>
          <w:szCs w:val="28"/>
        </w:rPr>
        <w:t>Питцера</w:t>
      </w:r>
      <w:proofErr w:type="spellEnd"/>
      <w:r w:rsidRPr="003B2D93">
        <w:rPr>
          <w:szCs w:val="28"/>
        </w:rPr>
        <w:t xml:space="preserve"> ω. Такой подход, в отличие от обычной </w:t>
      </w:r>
      <w:proofErr w:type="spellStart"/>
      <w:r w:rsidRPr="003B2D93">
        <w:rPr>
          <w:szCs w:val="28"/>
        </w:rPr>
        <w:t>одножидкостной</w:t>
      </w:r>
      <w:proofErr w:type="spellEnd"/>
      <w:r w:rsidRPr="003B2D93">
        <w:rPr>
          <w:szCs w:val="28"/>
        </w:rPr>
        <w:t xml:space="preserve"> модели, по</w:t>
      </w:r>
      <w:r w:rsidRPr="003B2D93">
        <w:rPr>
          <w:szCs w:val="28"/>
        </w:rPr>
        <w:t>з</w:t>
      </w:r>
      <w:r w:rsidRPr="003B2D93">
        <w:rPr>
          <w:szCs w:val="28"/>
        </w:rPr>
        <w:t xml:space="preserve">воляет более корректно учитывать многообразие углеводородного состава фракции. Термодинамическое свойство </w:t>
      </w:r>
      <w:r w:rsidRPr="003B2D93">
        <w:rPr>
          <w:i/>
          <w:szCs w:val="28"/>
          <w:lang w:val="en-US"/>
        </w:rPr>
        <w:t>Y</w:t>
      </w:r>
      <w:r w:rsidRPr="003B2D93">
        <w:rPr>
          <w:szCs w:val="28"/>
        </w:rPr>
        <w:t xml:space="preserve"> рассчитывается по аддитивной фо</w:t>
      </w:r>
      <w:r w:rsidRPr="003B2D93">
        <w:rPr>
          <w:szCs w:val="28"/>
        </w:rPr>
        <w:t>р</w:t>
      </w:r>
      <w:r w:rsidRPr="003B2D93">
        <w:rPr>
          <w:szCs w:val="28"/>
        </w:rPr>
        <w:t>муле идеального раствора</w:t>
      </w:r>
    </w:p>
    <w:p w:rsidR="00E322DC" w:rsidRPr="003B2D93" w:rsidRDefault="00E322DC" w:rsidP="003B2D93">
      <w:pPr>
        <w:spacing w:line="240" w:lineRule="auto"/>
        <w:rPr>
          <w:szCs w:val="28"/>
        </w:rPr>
      </w:pPr>
    </w:p>
    <w:p w:rsidR="003B2D93" w:rsidRPr="00E322DC" w:rsidRDefault="00E322DC" w:rsidP="003B2D93">
      <w:pPr>
        <w:spacing w:line="240" w:lineRule="auto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 xml:space="preserve">Y= 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Cs w:val="28"/>
                </w:rPr>
                <m:t>a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Cs w:val="28"/>
                </w:rPr>
                <m:t>c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Cs w:val="28"/>
            </w:rPr>
            <m:t xml:space="preserve">,                                            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r>
                <w:rPr>
                  <w:rFonts w:ascii="Cambria Math" w:hAnsi="Cambria Math"/>
                  <w:szCs w:val="28"/>
                </w:rPr>
                <m:t>7</m:t>
              </m:r>
            </m:e>
          </m:d>
        </m:oMath>
      </m:oMathPara>
    </w:p>
    <w:p w:rsidR="00E322DC" w:rsidRPr="00E322DC" w:rsidRDefault="00E322DC" w:rsidP="003B2D93">
      <w:pPr>
        <w:spacing w:line="240" w:lineRule="auto"/>
        <w:rPr>
          <w:szCs w:val="28"/>
        </w:rPr>
      </w:pPr>
    </w:p>
    <w:p w:rsidR="003B2D93" w:rsidRPr="003B2D93" w:rsidRDefault="003B2D93" w:rsidP="003B2D93">
      <w:pPr>
        <w:spacing w:line="240" w:lineRule="auto"/>
        <w:rPr>
          <w:szCs w:val="28"/>
        </w:rPr>
      </w:pPr>
      <w:r w:rsidRPr="003B2D93">
        <w:rPr>
          <w:szCs w:val="28"/>
        </w:rPr>
        <w:t xml:space="preserve">где </w:t>
      </w:r>
      <w:proofErr w:type="spellStart"/>
      <w:r w:rsidRPr="003B2D93">
        <w:rPr>
          <w:i/>
          <w:szCs w:val="28"/>
          <w:lang w:val="en-US"/>
        </w:rPr>
        <w:t>Y</w:t>
      </w:r>
      <w:r w:rsidRPr="003B2D93">
        <w:rPr>
          <w:i/>
          <w:szCs w:val="28"/>
          <w:vertAlign w:val="subscript"/>
          <w:lang w:val="en-US"/>
        </w:rPr>
        <w:t>a</w:t>
      </w:r>
      <w:proofErr w:type="spellEnd"/>
      <w:r w:rsidRPr="003B2D93">
        <w:rPr>
          <w:szCs w:val="28"/>
        </w:rPr>
        <w:t xml:space="preserve">, </w:t>
      </w:r>
      <w:proofErr w:type="spellStart"/>
      <w:r w:rsidRPr="003B2D93">
        <w:rPr>
          <w:i/>
          <w:szCs w:val="28"/>
          <w:lang w:val="en-US"/>
        </w:rPr>
        <w:t>Y</w:t>
      </w:r>
      <w:r w:rsidRPr="003B2D93">
        <w:rPr>
          <w:i/>
          <w:szCs w:val="28"/>
          <w:vertAlign w:val="subscript"/>
          <w:lang w:val="en-US"/>
        </w:rPr>
        <w:t>c</w:t>
      </w:r>
      <w:proofErr w:type="spellEnd"/>
      <w:r w:rsidRPr="003B2D93">
        <w:rPr>
          <w:szCs w:val="28"/>
        </w:rPr>
        <w:t xml:space="preserve"> – термодинамическое свойство, рассчитанное по ФУС (3) соо</w:t>
      </w:r>
      <w:r w:rsidRPr="003B2D93">
        <w:rPr>
          <w:szCs w:val="28"/>
        </w:rPr>
        <w:t>т</w:t>
      </w:r>
      <w:r w:rsidRPr="003B2D93">
        <w:rPr>
          <w:szCs w:val="28"/>
        </w:rPr>
        <w:t xml:space="preserve">ветственно для </w:t>
      </w:r>
      <w:proofErr w:type="spellStart"/>
      <w:r w:rsidRPr="003B2D93">
        <w:rPr>
          <w:szCs w:val="28"/>
        </w:rPr>
        <w:t>алканов</w:t>
      </w:r>
      <w:proofErr w:type="spellEnd"/>
      <w:r w:rsidRPr="003B2D93">
        <w:rPr>
          <w:szCs w:val="28"/>
        </w:rPr>
        <w:t xml:space="preserve"> и для циклических углеводородов; </w:t>
      </w:r>
      <w:proofErr w:type="spellStart"/>
      <w:r w:rsidRPr="003B2D93">
        <w:rPr>
          <w:i/>
          <w:szCs w:val="28"/>
          <w:lang w:val="en-US"/>
        </w:rPr>
        <w:t>x</w:t>
      </w:r>
      <w:r w:rsidRPr="003B2D93">
        <w:rPr>
          <w:i/>
          <w:szCs w:val="28"/>
          <w:vertAlign w:val="subscript"/>
          <w:lang w:val="en-US"/>
        </w:rPr>
        <w:t>a</w:t>
      </w:r>
      <w:proofErr w:type="spellEnd"/>
      <w:r w:rsidRPr="003B2D93">
        <w:rPr>
          <w:szCs w:val="28"/>
        </w:rPr>
        <w:t xml:space="preserve">, </w:t>
      </w:r>
      <w:r w:rsidRPr="003B2D93">
        <w:rPr>
          <w:i/>
          <w:szCs w:val="28"/>
          <w:lang w:val="en-US"/>
        </w:rPr>
        <w:t>x</w:t>
      </w:r>
      <w:r w:rsidRPr="003B2D93">
        <w:rPr>
          <w:i/>
          <w:szCs w:val="28"/>
          <w:vertAlign w:val="subscript"/>
          <w:lang w:val="en-US"/>
        </w:rPr>
        <w:t>c</w:t>
      </w:r>
      <w:r w:rsidRPr="003B2D93">
        <w:rPr>
          <w:szCs w:val="28"/>
        </w:rPr>
        <w:t xml:space="preserve"> – соотве</w:t>
      </w:r>
      <w:r w:rsidRPr="003B2D93">
        <w:rPr>
          <w:szCs w:val="28"/>
        </w:rPr>
        <w:t>т</w:t>
      </w:r>
      <w:r w:rsidRPr="003B2D93">
        <w:rPr>
          <w:szCs w:val="28"/>
        </w:rPr>
        <w:t xml:space="preserve">ственно доля </w:t>
      </w:r>
      <w:proofErr w:type="spellStart"/>
      <w:r w:rsidRPr="003B2D93">
        <w:rPr>
          <w:szCs w:val="28"/>
        </w:rPr>
        <w:t>алкановых</w:t>
      </w:r>
      <w:proofErr w:type="spellEnd"/>
      <w:r w:rsidRPr="003B2D93">
        <w:rPr>
          <w:szCs w:val="28"/>
        </w:rPr>
        <w:t xml:space="preserve"> и циклических структур в составе смеси. </w:t>
      </w:r>
    </w:p>
    <w:p w:rsidR="003B2D93" w:rsidRPr="003B2D93" w:rsidRDefault="003B2D93" w:rsidP="003B2D93">
      <w:pPr>
        <w:spacing w:line="240" w:lineRule="auto"/>
        <w:rPr>
          <w:szCs w:val="28"/>
        </w:rPr>
      </w:pPr>
      <w:r w:rsidRPr="003B2D93">
        <w:rPr>
          <w:szCs w:val="28"/>
        </w:rPr>
        <w:tab/>
        <w:t xml:space="preserve">Значения </w:t>
      </w:r>
      <w:proofErr w:type="spellStart"/>
      <w:r w:rsidRPr="003B2D93">
        <w:rPr>
          <w:i/>
          <w:szCs w:val="28"/>
          <w:lang w:val="en-US"/>
        </w:rPr>
        <w:t>x</w:t>
      </w:r>
      <w:r w:rsidRPr="003B2D93">
        <w:rPr>
          <w:i/>
          <w:szCs w:val="28"/>
          <w:vertAlign w:val="subscript"/>
          <w:lang w:val="en-US"/>
        </w:rPr>
        <w:t>a</w:t>
      </w:r>
      <w:proofErr w:type="spellEnd"/>
      <w:r w:rsidRPr="003B2D93">
        <w:rPr>
          <w:szCs w:val="28"/>
        </w:rPr>
        <w:t xml:space="preserve"> и </w:t>
      </w:r>
      <w:r w:rsidRPr="003B2D93">
        <w:rPr>
          <w:i/>
          <w:szCs w:val="28"/>
          <w:lang w:val="en-US"/>
        </w:rPr>
        <w:t>x</w:t>
      </w:r>
      <w:r w:rsidRPr="003B2D93">
        <w:rPr>
          <w:i/>
          <w:szCs w:val="28"/>
          <w:vertAlign w:val="subscript"/>
          <w:lang w:val="en-US"/>
        </w:rPr>
        <w:t>c</w:t>
      </w:r>
      <w:r w:rsidRPr="003B2D93">
        <w:rPr>
          <w:i/>
          <w:szCs w:val="28"/>
          <w:vertAlign w:val="subscript"/>
        </w:rPr>
        <w:t xml:space="preserve"> </w:t>
      </w:r>
      <w:r w:rsidRPr="003B2D93">
        <w:rPr>
          <w:szCs w:val="28"/>
        </w:rPr>
        <w:t xml:space="preserve">рассчитывались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D</m:t>
            </m:r>
          </m:sub>
        </m:sSub>
        <m:r>
          <w:rPr>
            <w:rFonts w:ascii="Cambria Math" w:hAnsi="Cambria Math"/>
            <w:szCs w:val="28"/>
          </w:rPr>
          <m:t>-ρ-M-</m:t>
        </m:r>
      </m:oMath>
      <w:r w:rsidRPr="003B2D93">
        <w:rPr>
          <w:szCs w:val="28"/>
        </w:rPr>
        <w:t xml:space="preserve"> методом структурно-группового анализа [</w:t>
      </w:r>
      <w:r w:rsidR="00D558E7">
        <w:rPr>
          <w:szCs w:val="28"/>
        </w:rPr>
        <w:t>7</w:t>
      </w:r>
      <w:r w:rsidRPr="003B2D93">
        <w:rPr>
          <w:szCs w:val="28"/>
        </w:rPr>
        <w:t>] на основе данных о показателе преломления при темп</w:t>
      </w:r>
      <w:r w:rsidRPr="003B2D93">
        <w:rPr>
          <w:szCs w:val="28"/>
        </w:rPr>
        <w:t>е</w:t>
      </w:r>
      <w:r w:rsidRPr="003B2D93">
        <w:rPr>
          <w:szCs w:val="28"/>
        </w:rPr>
        <w:t xml:space="preserve">ратуре 20 </w:t>
      </w:r>
      <w:proofErr w:type="spellStart"/>
      <w:r w:rsidRPr="003B2D93">
        <w:rPr>
          <w:szCs w:val="28"/>
          <w:vertAlign w:val="superscript"/>
        </w:rPr>
        <w:t>о</w:t>
      </w:r>
      <w:r w:rsidRPr="003B2D93">
        <w:rPr>
          <w:szCs w:val="28"/>
        </w:rPr>
        <w:t>С</w:t>
      </w:r>
      <w:proofErr w:type="spellEnd"/>
      <w:r w:rsidRPr="003B2D93">
        <w:rPr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D</m:t>
            </m:r>
          </m:sub>
          <m:sup>
            <m:r>
              <w:rPr>
                <w:rFonts w:ascii="Cambria Math" w:hAnsi="Cambria Math"/>
                <w:szCs w:val="28"/>
              </w:rPr>
              <m:t>20</m:t>
            </m:r>
          </m:sup>
        </m:sSubSup>
      </m:oMath>
      <w:r w:rsidRPr="003B2D93">
        <w:rPr>
          <w:szCs w:val="28"/>
        </w:rPr>
        <w:t xml:space="preserve">, относительной плотности при то же температуре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Cs w:val="28"/>
              </w:rPr>
              <m:t>4</m:t>
            </m:r>
          </m:sub>
          <m:sup>
            <m:r>
              <w:rPr>
                <w:rFonts w:ascii="Cambria Math" w:hAnsi="Cambria Math"/>
                <w:szCs w:val="28"/>
              </w:rPr>
              <m:t>20</m:t>
            </m:r>
          </m:sup>
        </m:sSubSup>
      </m:oMath>
      <w:r w:rsidRPr="003B2D93">
        <w:rPr>
          <w:szCs w:val="28"/>
        </w:rPr>
        <w:t xml:space="preserve"> и сре</w:t>
      </w:r>
      <w:r w:rsidRPr="003B2D93">
        <w:rPr>
          <w:szCs w:val="28"/>
        </w:rPr>
        <w:t>д</w:t>
      </w:r>
      <w:r w:rsidRPr="003B2D93">
        <w:rPr>
          <w:szCs w:val="28"/>
        </w:rPr>
        <w:t xml:space="preserve">ней молярной массе </w:t>
      </w:r>
      <w:r w:rsidRPr="003B2D93">
        <w:rPr>
          <w:i/>
          <w:szCs w:val="28"/>
          <w:lang w:val="en-US"/>
        </w:rPr>
        <w:t>M</w:t>
      </w:r>
      <w:r w:rsidRPr="003B2D93">
        <w:rPr>
          <w:szCs w:val="28"/>
        </w:rPr>
        <w:t xml:space="preserve">. Необходимые для расчета </w:t>
      </w:r>
      <w:proofErr w:type="spellStart"/>
      <w:r w:rsidRPr="003B2D93">
        <w:rPr>
          <w:szCs w:val="28"/>
        </w:rPr>
        <w:t>псевдокритические</w:t>
      </w:r>
      <w:proofErr w:type="spellEnd"/>
      <w:r w:rsidRPr="003B2D93">
        <w:rPr>
          <w:szCs w:val="28"/>
        </w:rPr>
        <w:t xml:space="preserve"> свойства и фактор </w:t>
      </w:r>
      <w:proofErr w:type="spellStart"/>
      <w:r w:rsidRPr="003B2D93">
        <w:rPr>
          <w:szCs w:val="28"/>
        </w:rPr>
        <w:t>ацентричности</w:t>
      </w:r>
      <w:proofErr w:type="spellEnd"/>
      <w:r w:rsidRPr="003B2D93">
        <w:rPr>
          <w:szCs w:val="28"/>
        </w:rPr>
        <w:t xml:space="preserve"> ω определялись по эмпирическим соотношениям. В частности, </w:t>
      </w:r>
      <w:proofErr w:type="spellStart"/>
      <w:r w:rsidRPr="003B2D93">
        <w:rPr>
          <w:szCs w:val="28"/>
        </w:rPr>
        <w:t>псевдокритическая</w:t>
      </w:r>
      <w:proofErr w:type="spellEnd"/>
      <w:r w:rsidRPr="003B2D93">
        <w:rPr>
          <w:szCs w:val="28"/>
        </w:rPr>
        <w:t xml:space="preserve"> температура, </w:t>
      </w:r>
      <w:proofErr w:type="spellStart"/>
      <w:r w:rsidRPr="003B2D93">
        <w:rPr>
          <w:szCs w:val="28"/>
        </w:rPr>
        <w:t>псевдокритическое</w:t>
      </w:r>
      <w:proofErr w:type="spellEnd"/>
      <w:r w:rsidRPr="003B2D93">
        <w:rPr>
          <w:szCs w:val="28"/>
        </w:rPr>
        <w:t xml:space="preserve"> давление и фактор </w:t>
      </w:r>
      <w:proofErr w:type="spellStart"/>
      <w:r w:rsidRPr="003B2D93">
        <w:rPr>
          <w:szCs w:val="28"/>
        </w:rPr>
        <w:t>ацентричности</w:t>
      </w:r>
      <w:proofErr w:type="spellEnd"/>
      <w:r w:rsidRPr="003B2D93">
        <w:rPr>
          <w:szCs w:val="28"/>
        </w:rPr>
        <w:t xml:space="preserve"> ω определялись по формулам </w:t>
      </w:r>
      <w:proofErr w:type="spellStart"/>
      <w:r w:rsidRPr="003B2D93">
        <w:rPr>
          <w:szCs w:val="28"/>
        </w:rPr>
        <w:t>Кеслера</w:t>
      </w:r>
      <w:proofErr w:type="spellEnd"/>
      <w:r w:rsidRPr="003B2D93">
        <w:rPr>
          <w:szCs w:val="28"/>
        </w:rPr>
        <w:t xml:space="preserve"> и Ли [</w:t>
      </w:r>
      <w:r w:rsidR="00D558E7">
        <w:rPr>
          <w:szCs w:val="28"/>
        </w:rPr>
        <w:t>8</w:t>
      </w:r>
      <w:r w:rsidRPr="003B2D93">
        <w:rPr>
          <w:szCs w:val="28"/>
        </w:rPr>
        <w:t xml:space="preserve">], а </w:t>
      </w:r>
      <w:proofErr w:type="spellStart"/>
      <w:r w:rsidRPr="003B2D93">
        <w:rPr>
          <w:szCs w:val="28"/>
        </w:rPr>
        <w:t>псе</w:t>
      </w:r>
      <w:r w:rsidRPr="003B2D93">
        <w:rPr>
          <w:szCs w:val="28"/>
        </w:rPr>
        <w:t>в</w:t>
      </w:r>
      <w:r w:rsidRPr="003B2D93">
        <w:rPr>
          <w:szCs w:val="28"/>
        </w:rPr>
        <w:t>докритическая</w:t>
      </w:r>
      <w:proofErr w:type="spellEnd"/>
      <w:r w:rsidRPr="003B2D93">
        <w:rPr>
          <w:szCs w:val="28"/>
        </w:rPr>
        <w:t xml:space="preserve"> плотность – по формуле </w:t>
      </w:r>
      <w:proofErr w:type="spellStart"/>
      <w:r w:rsidRPr="003B2D93">
        <w:rPr>
          <w:szCs w:val="28"/>
        </w:rPr>
        <w:t>Риази</w:t>
      </w:r>
      <w:proofErr w:type="spellEnd"/>
      <w:r w:rsidRPr="003B2D93">
        <w:rPr>
          <w:szCs w:val="28"/>
        </w:rPr>
        <w:t xml:space="preserve"> и </w:t>
      </w:r>
      <w:proofErr w:type="spellStart"/>
      <w:r w:rsidRPr="003B2D93">
        <w:rPr>
          <w:szCs w:val="28"/>
        </w:rPr>
        <w:t>Доуберта</w:t>
      </w:r>
      <w:proofErr w:type="spellEnd"/>
      <w:r w:rsidRPr="003B2D93">
        <w:rPr>
          <w:szCs w:val="28"/>
        </w:rPr>
        <w:t xml:space="preserve"> [</w:t>
      </w:r>
      <w:r w:rsidR="00D558E7">
        <w:rPr>
          <w:szCs w:val="28"/>
        </w:rPr>
        <w:t>9</w:t>
      </w:r>
      <w:r w:rsidRPr="003B2D93">
        <w:rPr>
          <w:szCs w:val="28"/>
        </w:rPr>
        <w:t xml:space="preserve">] . При расчете ТДС по ФУС производилась коррекция </w:t>
      </w:r>
      <w:proofErr w:type="spellStart"/>
      <w:r w:rsidRPr="003B2D93">
        <w:rPr>
          <w:szCs w:val="28"/>
        </w:rPr>
        <w:t>псевдокритической</w:t>
      </w:r>
      <w:proofErr w:type="spellEnd"/>
      <w:r w:rsidRPr="003B2D93">
        <w:rPr>
          <w:szCs w:val="28"/>
        </w:rPr>
        <w:t xml:space="preserve"> плотности по значению величины относительной плотности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Cs w:val="28"/>
              </w:rPr>
              <m:t>4</m:t>
            </m:r>
          </m:sub>
          <m:sup>
            <m:r>
              <w:rPr>
                <w:rFonts w:ascii="Cambria Math" w:hAnsi="Cambria Math"/>
                <w:szCs w:val="28"/>
              </w:rPr>
              <m:t>20</m:t>
            </m:r>
          </m:sup>
        </m:sSubSup>
      </m:oMath>
      <w:r w:rsidRPr="003B2D93">
        <w:rPr>
          <w:szCs w:val="28"/>
        </w:rPr>
        <w:t xml:space="preserve">, которая определяется в лабораторных условиях с высокой точностью </w:t>
      </w:r>
      <w:proofErr w:type="gramStart"/>
      <w:r w:rsidRPr="003B2D93">
        <w:rPr>
          <w:szCs w:val="28"/>
        </w:rPr>
        <w:t xml:space="preserve">( </w:t>
      </w:r>
      <w:proofErr w:type="gramEnd"/>
      <w:r w:rsidRPr="003B2D93">
        <w:rPr>
          <w:szCs w:val="28"/>
        </w:rPr>
        <w:t xml:space="preserve">~ 0,02 %). Идеально-газовая теплоемкость </w:t>
      </w:r>
      <w:proofErr w:type="spellStart"/>
      <w:r w:rsidRPr="003B2D93">
        <w:rPr>
          <w:i/>
          <w:szCs w:val="28"/>
        </w:rPr>
        <w:t>С</w:t>
      </w:r>
      <w:r w:rsidRPr="003B2D93">
        <w:rPr>
          <w:i/>
          <w:szCs w:val="28"/>
          <w:vertAlign w:val="subscript"/>
        </w:rPr>
        <w:t>р</w:t>
      </w:r>
      <w:r w:rsidRPr="003B2D93">
        <w:rPr>
          <w:szCs w:val="28"/>
          <w:vertAlign w:val="superscript"/>
        </w:rPr>
        <w:t>о</w:t>
      </w:r>
      <w:proofErr w:type="spellEnd"/>
      <w:r w:rsidRPr="003B2D93">
        <w:rPr>
          <w:szCs w:val="28"/>
          <w:vertAlign w:val="superscript"/>
        </w:rPr>
        <w:t xml:space="preserve"> </w:t>
      </w:r>
      <w:r w:rsidRPr="003B2D93">
        <w:rPr>
          <w:szCs w:val="28"/>
        </w:rPr>
        <w:t xml:space="preserve">рассчитывалась по эмпирической формуле </w:t>
      </w:r>
      <w:proofErr w:type="spellStart"/>
      <w:r w:rsidRPr="003B2D93">
        <w:rPr>
          <w:szCs w:val="28"/>
        </w:rPr>
        <w:t>Кеслера</w:t>
      </w:r>
      <w:proofErr w:type="spellEnd"/>
      <w:r w:rsidRPr="003B2D93">
        <w:rPr>
          <w:szCs w:val="28"/>
        </w:rPr>
        <w:t xml:space="preserve"> и</w:t>
      </w:r>
      <w:proofErr w:type="gramStart"/>
      <w:r w:rsidRPr="003B2D93">
        <w:rPr>
          <w:szCs w:val="28"/>
        </w:rPr>
        <w:t xml:space="preserve"> Л</w:t>
      </w:r>
      <w:proofErr w:type="gramEnd"/>
      <w:r w:rsidRPr="003B2D93">
        <w:rPr>
          <w:szCs w:val="28"/>
        </w:rPr>
        <w:t>и [</w:t>
      </w:r>
      <w:r w:rsidR="00D558E7">
        <w:rPr>
          <w:szCs w:val="28"/>
        </w:rPr>
        <w:t>8</w:t>
      </w:r>
      <w:r w:rsidRPr="003B2D93">
        <w:rPr>
          <w:szCs w:val="28"/>
        </w:rPr>
        <w:t>].</w:t>
      </w:r>
    </w:p>
    <w:p w:rsidR="00E634D5" w:rsidRDefault="00E634D5" w:rsidP="00E634D5">
      <w:pPr>
        <w:spacing w:line="240" w:lineRule="auto"/>
        <w:rPr>
          <w:szCs w:val="28"/>
        </w:rPr>
      </w:pPr>
      <w:r w:rsidRPr="00E634D5">
        <w:rPr>
          <w:szCs w:val="28"/>
        </w:rPr>
        <w:lastRenderedPageBreak/>
        <w:t>Тестирование предлагаемого метода показало, что он характеризуется зн</w:t>
      </w:r>
      <w:r w:rsidRPr="00E634D5">
        <w:rPr>
          <w:szCs w:val="28"/>
        </w:rPr>
        <w:t>а</w:t>
      </w:r>
      <w:r w:rsidRPr="00E634D5">
        <w:rPr>
          <w:szCs w:val="28"/>
        </w:rPr>
        <w:t>чительно более высокой точностью прогнозного расчета ТДС (плотность жи</w:t>
      </w:r>
      <w:r w:rsidRPr="00E634D5">
        <w:rPr>
          <w:szCs w:val="28"/>
        </w:rPr>
        <w:t>д</w:t>
      </w:r>
      <w:r w:rsidRPr="00E634D5">
        <w:rPr>
          <w:szCs w:val="28"/>
        </w:rPr>
        <w:t>кой фазы рассчитывается ~ в четыре раза точнее кубических УС, а изобарная теплоемкость – на порядок и более) и может быть использован для расчета ф</w:t>
      </w:r>
      <w:r w:rsidRPr="00E634D5">
        <w:rPr>
          <w:szCs w:val="28"/>
        </w:rPr>
        <w:t>а</w:t>
      </w:r>
      <w:r w:rsidRPr="00E634D5">
        <w:rPr>
          <w:szCs w:val="28"/>
        </w:rPr>
        <w:t>зовых равновесий также с достаточно высокой точностью. В докладе излагается метод расчета и дана сравнительная характеристика с другими методами на примере более чем 200 углеводородных систем различного происхождения.</w:t>
      </w:r>
    </w:p>
    <w:p w:rsidR="00E322DC" w:rsidRPr="00E634D5" w:rsidRDefault="00E322DC" w:rsidP="00E634D5">
      <w:pPr>
        <w:spacing w:line="240" w:lineRule="auto"/>
        <w:rPr>
          <w:szCs w:val="28"/>
        </w:rPr>
      </w:pPr>
    </w:p>
    <w:p w:rsidR="0005543B" w:rsidRDefault="0054263D" w:rsidP="0054263D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E322DC" w:rsidRDefault="00E322DC" w:rsidP="0054263D">
      <w:pPr>
        <w:pStyle w:val="21"/>
        <w:ind w:firstLine="0"/>
        <w:jc w:val="center"/>
        <w:rPr>
          <w:sz w:val="28"/>
          <w:szCs w:val="28"/>
        </w:rPr>
      </w:pPr>
    </w:p>
    <w:p w:rsidR="009A0111" w:rsidRPr="009A0111" w:rsidRDefault="009A0111" w:rsidP="009A0111">
      <w:pPr>
        <w:spacing w:line="240" w:lineRule="auto"/>
        <w:ind w:firstLine="0"/>
        <w:rPr>
          <w:szCs w:val="28"/>
        </w:rPr>
      </w:pPr>
      <w:r w:rsidRPr="00143A91">
        <w:rPr>
          <w:szCs w:val="28"/>
        </w:rPr>
        <w:t xml:space="preserve">1. </w:t>
      </w:r>
      <w:r>
        <w:rPr>
          <w:szCs w:val="28"/>
          <w:lang w:val="en-US"/>
        </w:rPr>
        <w:t>L</w:t>
      </w:r>
      <w:r w:rsidRPr="00143A91">
        <w:rPr>
          <w:szCs w:val="28"/>
        </w:rPr>
        <w:t xml:space="preserve">. </w:t>
      </w:r>
      <w:r w:rsidRPr="008F76A6">
        <w:rPr>
          <w:szCs w:val="28"/>
          <w:lang w:val="en-US"/>
        </w:rPr>
        <w:t>Sun</w:t>
      </w:r>
      <w:r w:rsidRPr="00143A91">
        <w:rPr>
          <w:szCs w:val="28"/>
        </w:rPr>
        <w:t xml:space="preserve">, </w:t>
      </w:r>
      <w:r>
        <w:rPr>
          <w:szCs w:val="28"/>
          <w:lang w:val="en-US"/>
        </w:rPr>
        <w:t>J</w:t>
      </w:r>
      <w:r w:rsidRPr="00143A91">
        <w:rPr>
          <w:szCs w:val="28"/>
        </w:rPr>
        <w:t>.</w:t>
      </w:r>
      <w:r>
        <w:rPr>
          <w:szCs w:val="28"/>
          <w:lang w:val="en-US"/>
        </w:rPr>
        <w:t>E</w:t>
      </w:r>
      <w:r w:rsidRPr="00143A91">
        <w:rPr>
          <w:szCs w:val="28"/>
        </w:rPr>
        <w:t xml:space="preserve">. </w:t>
      </w:r>
      <w:r>
        <w:rPr>
          <w:szCs w:val="28"/>
          <w:lang w:val="en-US"/>
        </w:rPr>
        <w:t>Ely</w:t>
      </w:r>
      <w:r w:rsidRPr="00143A91">
        <w:rPr>
          <w:szCs w:val="28"/>
        </w:rPr>
        <w:t xml:space="preserve">. </w:t>
      </w:r>
      <w:proofErr w:type="gramStart"/>
      <w:r w:rsidRPr="009A0111">
        <w:rPr>
          <w:i/>
          <w:szCs w:val="28"/>
          <w:lang w:val="en-US"/>
        </w:rPr>
        <w:t>Fluid</w:t>
      </w:r>
      <w:r w:rsidRPr="00143A91">
        <w:rPr>
          <w:i/>
          <w:szCs w:val="28"/>
        </w:rPr>
        <w:t xml:space="preserve"> </w:t>
      </w:r>
      <w:r w:rsidRPr="009A0111">
        <w:rPr>
          <w:i/>
          <w:szCs w:val="28"/>
          <w:lang w:val="en-US"/>
        </w:rPr>
        <w:t>Phase</w:t>
      </w:r>
      <w:r w:rsidRPr="00143A91">
        <w:rPr>
          <w:i/>
          <w:szCs w:val="28"/>
        </w:rPr>
        <w:t xml:space="preserve"> </w:t>
      </w:r>
      <w:proofErr w:type="spellStart"/>
      <w:r w:rsidRPr="009A0111">
        <w:rPr>
          <w:i/>
          <w:szCs w:val="28"/>
          <w:lang w:val="en-US"/>
        </w:rPr>
        <w:t>Equilibria</w:t>
      </w:r>
      <w:proofErr w:type="spellEnd"/>
      <w:r w:rsidRPr="00143A91">
        <w:rPr>
          <w:szCs w:val="28"/>
        </w:rPr>
        <w:t>.</w:t>
      </w:r>
      <w:proofErr w:type="gramEnd"/>
      <w:r w:rsidRPr="00143A91">
        <w:rPr>
          <w:szCs w:val="28"/>
        </w:rPr>
        <w:t xml:space="preserve"> </w:t>
      </w:r>
      <w:r w:rsidRPr="009A0111">
        <w:rPr>
          <w:b/>
          <w:szCs w:val="28"/>
        </w:rPr>
        <w:t>222-223</w:t>
      </w:r>
      <w:r w:rsidRPr="009A0111">
        <w:rPr>
          <w:szCs w:val="28"/>
        </w:rPr>
        <w:t xml:space="preserve"> (2004) 107</w:t>
      </w:r>
      <w:r w:rsidR="00D135D3" w:rsidRPr="00143A91">
        <w:rPr>
          <w:szCs w:val="28"/>
        </w:rPr>
        <w:t>.</w:t>
      </w:r>
      <w:r w:rsidRPr="009A0111">
        <w:rPr>
          <w:szCs w:val="28"/>
        </w:rPr>
        <w:t xml:space="preserve"> </w:t>
      </w:r>
    </w:p>
    <w:p w:rsidR="009A0111" w:rsidRDefault="009A0111" w:rsidP="009A0111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2. </w:t>
      </w:r>
      <w:r w:rsidRPr="00314C9A">
        <w:rPr>
          <w:szCs w:val="28"/>
        </w:rPr>
        <w:t>И.С. Александров, Б.А. Григорьев, А.А. Герасимов</w:t>
      </w:r>
      <w:r>
        <w:rPr>
          <w:szCs w:val="28"/>
        </w:rPr>
        <w:t>.</w:t>
      </w:r>
      <w:r w:rsidRPr="00314C9A">
        <w:rPr>
          <w:szCs w:val="28"/>
        </w:rPr>
        <w:t xml:space="preserve"> </w:t>
      </w:r>
      <w:r w:rsidRPr="00314C9A">
        <w:rPr>
          <w:i/>
          <w:szCs w:val="28"/>
        </w:rPr>
        <w:t>Актуальные вопросы и</w:t>
      </w:r>
      <w:r w:rsidRPr="00314C9A">
        <w:rPr>
          <w:i/>
          <w:szCs w:val="28"/>
        </w:rPr>
        <w:t>с</w:t>
      </w:r>
      <w:r w:rsidRPr="00314C9A">
        <w:rPr>
          <w:i/>
          <w:szCs w:val="28"/>
        </w:rPr>
        <w:t>следований пластовых систем месторождений углеводородов в 2-х ч. Ч.1.</w:t>
      </w:r>
      <w:r w:rsidRPr="00314C9A">
        <w:rPr>
          <w:szCs w:val="28"/>
        </w:rPr>
        <w:t xml:space="preserve"> Га</w:t>
      </w:r>
      <w:r w:rsidRPr="00314C9A">
        <w:rPr>
          <w:szCs w:val="28"/>
        </w:rPr>
        <w:t>з</w:t>
      </w:r>
      <w:r w:rsidRPr="00314C9A">
        <w:rPr>
          <w:szCs w:val="28"/>
        </w:rPr>
        <w:t>пром ВНИИГАЗ, Москва, 2011</w:t>
      </w:r>
      <w:r w:rsidR="00D135D3" w:rsidRPr="00E322DC">
        <w:rPr>
          <w:szCs w:val="28"/>
        </w:rPr>
        <w:t>.</w:t>
      </w:r>
      <w:r w:rsidRPr="00314C9A">
        <w:rPr>
          <w:szCs w:val="28"/>
        </w:rPr>
        <w:t xml:space="preserve"> </w:t>
      </w:r>
    </w:p>
    <w:p w:rsidR="00E322DC" w:rsidRPr="00143A91" w:rsidRDefault="008F0CCE" w:rsidP="00E322DC">
      <w:pPr>
        <w:spacing w:line="240" w:lineRule="auto"/>
        <w:ind w:firstLine="0"/>
        <w:rPr>
          <w:szCs w:val="28"/>
        </w:rPr>
      </w:pPr>
      <w:r w:rsidRPr="00143A91">
        <w:rPr>
          <w:szCs w:val="28"/>
        </w:rPr>
        <w:t>3.</w:t>
      </w:r>
      <w:r w:rsidR="00E322DC" w:rsidRPr="00143A91">
        <w:rPr>
          <w:szCs w:val="28"/>
        </w:rPr>
        <w:t xml:space="preserve"> </w:t>
      </w:r>
      <w:r w:rsidR="00E322DC" w:rsidRPr="00E322DC">
        <w:rPr>
          <w:szCs w:val="28"/>
          <w:lang w:val="en-US"/>
        </w:rPr>
        <w:t>I</w:t>
      </w:r>
      <w:r w:rsidR="00E322DC" w:rsidRPr="00143A91">
        <w:rPr>
          <w:szCs w:val="28"/>
        </w:rPr>
        <w:t xml:space="preserve">. </w:t>
      </w:r>
      <w:proofErr w:type="spellStart"/>
      <w:r w:rsidR="00E322DC" w:rsidRPr="00E322DC">
        <w:rPr>
          <w:szCs w:val="28"/>
          <w:lang w:val="en-US"/>
        </w:rPr>
        <w:t>Alexandrov</w:t>
      </w:r>
      <w:proofErr w:type="spellEnd"/>
      <w:r w:rsidR="00E322DC" w:rsidRPr="00143A91">
        <w:rPr>
          <w:szCs w:val="28"/>
        </w:rPr>
        <w:t>,</w:t>
      </w:r>
      <w:r w:rsidR="00E322DC" w:rsidRPr="00143A91">
        <w:rPr>
          <w:b/>
          <w:szCs w:val="28"/>
        </w:rPr>
        <w:t xml:space="preserve"> </w:t>
      </w:r>
      <w:r w:rsidR="00E322DC" w:rsidRPr="00E322DC">
        <w:rPr>
          <w:szCs w:val="28"/>
          <w:lang w:val="en-US"/>
        </w:rPr>
        <w:t>A</w:t>
      </w:r>
      <w:r w:rsidR="00E322DC" w:rsidRPr="00143A91">
        <w:rPr>
          <w:szCs w:val="28"/>
        </w:rPr>
        <w:t xml:space="preserve">. </w:t>
      </w:r>
      <w:proofErr w:type="spellStart"/>
      <w:r w:rsidR="00E322DC" w:rsidRPr="00E322DC">
        <w:rPr>
          <w:szCs w:val="28"/>
          <w:lang w:val="en-US"/>
        </w:rPr>
        <w:t>Gerasimov</w:t>
      </w:r>
      <w:proofErr w:type="spellEnd"/>
      <w:r w:rsidR="00E322DC" w:rsidRPr="00143A91">
        <w:rPr>
          <w:szCs w:val="28"/>
        </w:rPr>
        <w:t xml:space="preserve">, </w:t>
      </w:r>
      <w:r w:rsidR="00E322DC" w:rsidRPr="00E322DC">
        <w:rPr>
          <w:szCs w:val="28"/>
          <w:lang w:val="en-US"/>
        </w:rPr>
        <w:t>B</w:t>
      </w:r>
      <w:r w:rsidR="00E322DC" w:rsidRPr="00143A91">
        <w:rPr>
          <w:szCs w:val="28"/>
        </w:rPr>
        <w:t xml:space="preserve">. </w:t>
      </w:r>
      <w:proofErr w:type="spellStart"/>
      <w:r w:rsidR="00E322DC" w:rsidRPr="00E322DC">
        <w:rPr>
          <w:szCs w:val="28"/>
          <w:lang w:val="en-US"/>
        </w:rPr>
        <w:t>Grigor</w:t>
      </w:r>
      <w:proofErr w:type="spellEnd"/>
      <w:r w:rsidR="00E322DC" w:rsidRPr="00143A91">
        <w:rPr>
          <w:szCs w:val="28"/>
        </w:rPr>
        <w:t>′</w:t>
      </w:r>
      <w:proofErr w:type="spellStart"/>
      <w:r w:rsidR="00E322DC" w:rsidRPr="00E322DC">
        <w:rPr>
          <w:szCs w:val="28"/>
          <w:lang w:val="en-US"/>
        </w:rPr>
        <w:t>ev</w:t>
      </w:r>
      <w:proofErr w:type="spellEnd"/>
      <w:r w:rsidR="00E322DC" w:rsidRPr="00143A91">
        <w:rPr>
          <w:szCs w:val="28"/>
        </w:rPr>
        <w:t xml:space="preserve">. </w:t>
      </w:r>
      <w:proofErr w:type="spellStart"/>
      <w:r w:rsidR="00E322DC" w:rsidRPr="00E322DC">
        <w:rPr>
          <w:i/>
          <w:szCs w:val="28"/>
          <w:lang w:val="en-US"/>
        </w:rPr>
        <w:t>Int</w:t>
      </w:r>
      <w:proofErr w:type="spellEnd"/>
      <w:r w:rsidR="00E322DC" w:rsidRPr="00143A91">
        <w:rPr>
          <w:i/>
          <w:szCs w:val="28"/>
        </w:rPr>
        <w:t xml:space="preserve">. </w:t>
      </w:r>
      <w:r w:rsidR="00E322DC" w:rsidRPr="00E322DC">
        <w:rPr>
          <w:i/>
          <w:szCs w:val="28"/>
          <w:lang w:val="en-US"/>
        </w:rPr>
        <w:t>J</w:t>
      </w:r>
      <w:r w:rsidR="00E322DC" w:rsidRPr="00143A91">
        <w:rPr>
          <w:i/>
          <w:szCs w:val="28"/>
        </w:rPr>
        <w:t xml:space="preserve">. </w:t>
      </w:r>
      <w:proofErr w:type="spellStart"/>
      <w:r w:rsidR="00E322DC" w:rsidRPr="00E322DC">
        <w:rPr>
          <w:i/>
          <w:szCs w:val="28"/>
          <w:lang w:val="en-US"/>
        </w:rPr>
        <w:t>Thermophys</w:t>
      </w:r>
      <w:proofErr w:type="spellEnd"/>
      <w:r w:rsidR="00E322DC" w:rsidRPr="00143A91">
        <w:rPr>
          <w:szCs w:val="28"/>
        </w:rPr>
        <w:t xml:space="preserve">. </w:t>
      </w:r>
      <w:r w:rsidR="00E322DC" w:rsidRPr="00E322DC">
        <w:rPr>
          <w:b/>
          <w:szCs w:val="28"/>
        </w:rPr>
        <w:t>34</w:t>
      </w:r>
      <w:r w:rsidR="00E322DC">
        <w:rPr>
          <w:szCs w:val="28"/>
        </w:rPr>
        <w:t xml:space="preserve"> (</w:t>
      </w:r>
      <w:r w:rsidR="00E322DC" w:rsidRPr="00143A91">
        <w:rPr>
          <w:szCs w:val="28"/>
        </w:rPr>
        <w:t>2013</w:t>
      </w:r>
      <w:r w:rsidR="00E322DC">
        <w:rPr>
          <w:szCs w:val="28"/>
        </w:rPr>
        <w:t xml:space="preserve">) </w:t>
      </w:r>
      <w:r w:rsidR="00E322DC" w:rsidRPr="00143A91">
        <w:rPr>
          <w:szCs w:val="28"/>
        </w:rPr>
        <w:t>1865.</w:t>
      </w:r>
    </w:p>
    <w:p w:rsidR="008F0CCE" w:rsidRDefault="008F0CCE" w:rsidP="0054263D">
      <w:pPr>
        <w:pStyle w:val="21"/>
        <w:ind w:firstLine="0"/>
        <w:rPr>
          <w:sz w:val="28"/>
          <w:szCs w:val="28"/>
          <w:lang w:val="en-US"/>
        </w:rPr>
      </w:pPr>
      <w:r w:rsidRPr="008F0CCE">
        <w:rPr>
          <w:sz w:val="28"/>
          <w:szCs w:val="28"/>
        </w:rPr>
        <w:t>4.</w:t>
      </w:r>
      <w:r>
        <w:rPr>
          <w:sz w:val="28"/>
          <w:szCs w:val="28"/>
        </w:rPr>
        <w:t xml:space="preserve"> Б.А. Григорьев, А.А. Герасимов, И.С. Александров. </w:t>
      </w:r>
      <w:r w:rsidRPr="00E322DC">
        <w:rPr>
          <w:i/>
          <w:sz w:val="28"/>
          <w:szCs w:val="28"/>
        </w:rPr>
        <w:t>Вести газовой науки</w:t>
      </w:r>
      <w:r w:rsidRPr="008F0CCE">
        <w:rPr>
          <w:sz w:val="28"/>
          <w:szCs w:val="28"/>
        </w:rPr>
        <w:t xml:space="preserve"> (</w:t>
      </w:r>
      <w:r w:rsidRPr="00E322DC">
        <w:rPr>
          <w:i/>
          <w:sz w:val="28"/>
          <w:szCs w:val="28"/>
        </w:rPr>
        <w:t>научно-технический сборник</w:t>
      </w:r>
      <w:r>
        <w:rPr>
          <w:sz w:val="28"/>
          <w:szCs w:val="28"/>
        </w:rPr>
        <w:t xml:space="preserve">). </w:t>
      </w:r>
      <w:r w:rsidRPr="00E322DC">
        <w:rPr>
          <w:b/>
          <w:sz w:val="28"/>
          <w:szCs w:val="28"/>
        </w:rPr>
        <w:t>№1(12)</w:t>
      </w:r>
      <w:r>
        <w:rPr>
          <w:sz w:val="28"/>
          <w:szCs w:val="28"/>
        </w:rPr>
        <w:t xml:space="preserve"> (2013) 4</w:t>
      </w:r>
      <w:r w:rsidR="00D135D3">
        <w:rPr>
          <w:sz w:val="28"/>
          <w:szCs w:val="28"/>
          <w:lang w:val="en-US"/>
        </w:rPr>
        <w:t>.</w:t>
      </w:r>
    </w:p>
    <w:p w:rsidR="00EB65B1" w:rsidRPr="00E322DC" w:rsidRDefault="00EB65B1" w:rsidP="00EB65B1">
      <w:pPr>
        <w:spacing w:line="240" w:lineRule="auto"/>
        <w:ind w:firstLine="0"/>
        <w:rPr>
          <w:szCs w:val="28"/>
          <w:lang w:val="en-US"/>
        </w:rPr>
      </w:pPr>
      <w:r w:rsidRPr="00EB65B1">
        <w:rPr>
          <w:szCs w:val="28"/>
        </w:rPr>
        <w:t>5. Б.А. Григорьев, А.А. Герасимов, И.С. Александров. Газовая</w:t>
      </w:r>
      <w:r w:rsidRPr="00E322DC">
        <w:rPr>
          <w:szCs w:val="28"/>
          <w:lang w:val="en-US"/>
        </w:rPr>
        <w:t xml:space="preserve"> </w:t>
      </w:r>
      <w:r w:rsidRPr="00EB65B1">
        <w:rPr>
          <w:szCs w:val="28"/>
        </w:rPr>
        <w:t>промышленность</w:t>
      </w:r>
      <w:r w:rsidRPr="00E322DC">
        <w:rPr>
          <w:szCs w:val="28"/>
          <w:lang w:val="en-US"/>
        </w:rPr>
        <w:t xml:space="preserve">. </w:t>
      </w:r>
      <w:r w:rsidRPr="00E322DC">
        <w:rPr>
          <w:b/>
          <w:szCs w:val="28"/>
          <w:lang w:val="en-US"/>
        </w:rPr>
        <w:t>№</w:t>
      </w:r>
      <w:r w:rsidR="00E322DC" w:rsidRPr="00E322DC">
        <w:rPr>
          <w:b/>
          <w:szCs w:val="28"/>
          <w:lang w:val="en-US"/>
        </w:rPr>
        <w:t xml:space="preserve"> </w:t>
      </w:r>
      <w:r w:rsidRPr="00E322DC">
        <w:rPr>
          <w:b/>
          <w:szCs w:val="28"/>
          <w:lang w:val="en-US"/>
        </w:rPr>
        <w:t>696</w:t>
      </w:r>
      <w:r w:rsidRPr="00E322DC">
        <w:rPr>
          <w:szCs w:val="28"/>
          <w:lang w:val="en-US"/>
        </w:rPr>
        <w:t xml:space="preserve"> </w:t>
      </w:r>
      <w:r w:rsidR="00E322DC" w:rsidRPr="00E322DC">
        <w:rPr>
          <w:szCs w:val="28"/>
          <w:lang w:val="en-US"/>
        </w:rPr>
        <w:t>(</w:t>
      </w:r>
      <w:r w:rsidRPr="00E322DC">
        <w:rPr>
          <w:szCs w:val="28"/>
          <w:lang w:val="en-US"/>
        </w:rPr>
        <w:t>2013</w:t>
      </w:r>
      <w:r w:rsidR="00E322DC" w:rsidRPr="00E322DC">
        <w:rPr>
          <w:szCs w:val="28"/>
          <w:lang w:val="en-US"/>
        </w:rPr>
        <w:t xml:space="preserve">) </w:t>
      </w:r>
      <w:r w:rsidRPr="00E322DC">
        <w:rPr>
          <w:szCs w:val="28"/>
          <w:lang w:val="en-US"/>
        </w:rPr>
        <w:t xml:space="preserve">98. </w:t>
      </w:r>
    </w:p>
    <w:p w:rsidR="002E3FF7" w:rsidRDefault="00D135D3" w:rsidP="002E3FF7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 w:rsidR="008F0CCE" w:rsidRPr="002E3FF7">
        <w:rPr>
          <w:sz w:val="28"/>
          <w:szCs w:val="28"/>
          <w:lang w:val="en-US"/>
        </w:rPr>
        <w:t>.</w:t>
      </w:r>
      <w:r w:rsidR="002E3FF7" w:rsidRPr="002E3FF7">
        <w:rPr>
          <w:sz w:val="28"/>
          <w:szCs w:val="28"/>
          <w:lang w:val="en-US"/>
        </w:rPr>
        <w:t xml:space="preserve"> </w:t>
      </w:r>
      <w:r w:rsidR="002E3FF7">
        <w:rPr>
          <w:sz w:val="28"/>
          <w:szCs w:val="28"/>
          <w:lang w:val="en-US"/>
        </w:rPr>
        <w:t xml:space="preserve">R. </w:t>
      </w:r>
      <w:r w:rsidR="002E3FF7" w:rsidRPr="0023327D">
        <w:rPr>
          <w:sz w:val="28"/>
          <w:szCs w:val="28"/>
          <w:lang w:val="en-US"/>
        </w:rPr>
        <w:t xml:space="preserve">Span R. </w:t>
      </w:r>
      <w:proofErr w:type="spellStart"/>
      <w:r w:rsidR="002E3FF7" w:rsidRPr="00D135D3">
        <w:rPr>
          <w:i/>
          <w:sz w:val="28"/>
          <w:szCs w:val="28"/>
          <w:lang w:val="en-US"/>
        </w:rPr>
        <w:t>Multiparameter</w:t>
      </w:r>
      <w:proofErr w:type="spellEnd"/>
      <w:r w:rsidR="002E3FF7" w:rsidRPr="00D135D3">
        <w:rPr>
          <w:i/>
          <w:sz w:val="28"/>
          <w:szCs w:val="28"/>
          <w:lang w:val="en-US"/>
        </w:rPr>
        <w:t xml:space="preserve"> Equation of State: An Accurate Source of Thermod</w:t>
      </w:r>
      <w:r w:rsidR="002E3FF7" w:rsidRPr="00D135D3">
        <w:rPr>
          <w:i/>
          <w:sz w:val="28"/>
          <w:szCs w:val="28"/>
          <w:lang w:val="en-US"/>
        </w:rPr>
        <w:t>y</w:t>
      </w:r>
      <w:r w:rsidR="002E3FF7" w:rsidRPr="00D135D3">
        <w:rPr>
          <w:i/>
          <w:sz w:val="28"/>
          <w:szCs w:val="28"/>
          <w:lang w:val="en-US"/>
        </w:rPr>
        <w:t>namic Property Data</w:t>
      </w:r>
      <w:r w:rsidR="002E3FF7">
        <w:rPr>
          <w:sz w:val="28"/>
          <w:szCs w:val="28"/>
          <w:lang w:val="en-US"/>
        </w:rPr>
        <w:t xml:space="preserve">. </w:t>
      </w:r>
      <w:proofErr w:type="gramStart"/>
      <w:r w:rsidR="002E3FF7" w:rsidRPr="0023327D">
        <w:rPr>
          <w:sz w:val="28"/>
          <w:szCs w:val="28"/>
          <w:lang w:val="en-US"/>
        </w:rPr>
        <w:t>Springer</w:t>
      </w:r>
      <w:r w:rsidR="002E3FF7" w:rsidRPr="00143A91">
        <w:rPr>
          <w:sz w:val="28"/>
          <w:szCs w:val="28"/>
        </w:rPr>
        <w:t>,</w:t>
      </w:r>
      <w:r w:rsidRPr="00143A91">
        <w:rPr>
          <w:sz w:val="28"/>
          <w:szCs w:val="28"/>
        </w:rPr>
        <w:t xml:space="preserve"> </w:t>
      </w:r>
      <w:r w:rsidRPr="0023327D">
        <w:rPr>
          <w:sz w:val="28"/>
          <w:szCs w:val="28"/>
          <w:lang w:val="en-US"/>
        </w:rPr>
        <w:t>Berlin</w:t>
      </w:r>
      <w:r w:rsidRPr="00143A91">
        <w:rPr>
          <w:sz w:val="28"/>
          <w:szCs w:val="28"/>
        </w:rPr>
        <w:t>,</w:t>
      </w:r>
      <w:r w:rsidR="002E3FF7" w:rsidRPr="00143A91">
        <w:rPr>
          <w:sz w:val="28"/>
          <w:szCs w:val="28"/>
        </w:rPr>
        <w:t xml:space="preserve"> 2000.</w:t>
      </w:r>
      <w:proofErr w:type="gramEnd"/>
      <w:r w:rsidR="002E3FF7" w:rsidRPr="00143A91">
        <w:rPr>
          <w:sz w:val="28"/>
          <w:szCs w:val="28"/>
        </w:rPr>
        <w:t xml:space="preserve"> </w:t>
      </w:r>
    </w:p>
    <w:p w:rsidR="00D135D3" w:rsidRPr="00143A91" w:rsidRDefault="00D135D3" w:rsidP="00D135D3">
      <w:pPr>
        <w:pStyle w:val="21"/>
        <w:ind w:firstLine="0"/>
        <w:rPr>
          <w:sz w:val="28"/>
          <w:szCs w:val="28"/>
        </w:rPr>
      </w:pPr>
      <w:r w:rsidRPr="00D135D3">
        <w:rPr>
          <w:sz w:val="28"/>
          <w:szCs w:val="28"/>
        </w:rPr>
        <w:t>7</w:t>
      </w:r>
      <w:r w:rsidRPr="00356C25">
        <w:rPr>
          <w:sz w:val="28"/>
          <w:szCs w:val="28"/>
        </w:rPr>
        <w:t>.</w:t>
      </w:r>
      <w:r w:rsidRPr="00D135D3">
        <w:rPr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 w:rsidRPr="00356C2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Ван-Нес</w:t>
      </w:r>
      <w:proofErr w:type="gramEnd"/>
      <w:r>
        <w:rPr>
          <w:sz w:val="28"/>
          <w:szCs w:val="28"/>
        </w:rPr>
        <w:t>, Х. Ван-</w:t>
      </w:r>
      <w:proofErr w:type="spellStart"/>
      <w:r>
        <w:rPr>
          <w:sz w:val="28"/>
          <w:szCs w:val="28"/>
        </w:rPr>
        <w:t>Вестен</w:t>
      </w:r>
      <w:proofErr w:type="spellEnd"/>
      <w:r>
        <w:rPr>
          <w:sz w:val="28"/>
          <w:szCs w:val="28"/>
        </w:rPr>
        <w:t xml:space="preserve">. </w:t>
      </w:r>
      <w:r w:rsidRPr="00D135D3">
        <w:rPr>
          <w:i/>
          <w:sz w:val="28"/>
          <w:szCs w:val="28"/>
        </w:rPr>
        <w:t>Состав масляных фракций нефти и их анализ</w:t>
      </w:r>
      <w:r>
        <w:rPr>
          <w:sz w:val="28"/>
          <w:szCs w:val="28"/>
        </w:rPr>
        <w:t>. Изд</w:t>
      </w:r>
      <w:r w:rsidRPr="00143A91">
        <w:rPr>
          <w:sz w:val="28"/>
          <w:szCs w:val="28"/>
        </w:rPr>
        <w:t>-</w:t>
      </w:r>
      <w:r>
        <w:rPr>
          <w:sz w:val="28"/>
          <w:szCs w:val="28"/>
        </w:rPr>
        <w:t>во</w:t>
      </w:r>
      <w:r w:rsidRPr="00143A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иностр</w:t>
      </w:r>
      <w:proofErr w:type="spellEnd"/>
      <w:r w:rsidRPr="00143A9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лит</w:t>
      </w:r>
      <w:proofErr w:type="gramEnd"/>
      <w:r w:rsidRPr="00143A91">
        <w:rPr>
          <w:sz w:val="28"/>
          <w:szCs w:val="28"/>
        </w:rPr>
        <w:t xml:space="preserve">., </w:t>
      </w:r>
      <w:r>
        <w:rPr>
          <w:sz w:val="28"/>
          <w:szCs w:val="28"/>
        </w:rPr>
        <w:t>Москва</w:t>
      </w:r>
      <w:r w:rsidRPr="00143A91">
        <w:rPr>
          <w:sz w:val="28"/>
          <w:szCs w:val="28"/>
        </w:rPr>
        <w:t>, 1954.</w:t>
      </w:r>
    </w:p>
    <w:p w:rsidR="002E3FF7" w:rsidRDefault="00D135D3" w:rsidP="002E3FF7">
      <w:pPr>
        <w:spacing w:line="240" w:lineRule="auto"/>
        <w:ind w:firstLine="0"/>
        <w:rPr>
          <w:szCs w:val="28"/>
          <w:lang w:val="en-US"/>
        </w:rPr>
      </w:pPr>
      <w:r w:rsidRPr="00143A91">
        <w:rPr>
          <w:szCs w:val="28"/>
        </w:rPr>
        <w:t>8</w:t>
      </w:r>
      <w:r w:rsidR="002E3FF7" w:rsidRPr="00143A91">
        <w:rPr>
          <w:szCs w:val="28"/>
        </w:rPr>
        <w:t>.</w:t>
      </w:r>
      <w:r w:rsidRPr="00143A91">
        <w:rPr>
          <w:szCs w:val="28"/>
        </w:rPr>
        <w:t xml:space="preserve"> </w:t>
      </w:r>
      <w:r>
        <w:rPr>
          <w:szCs w:val="28"/>
          <w:lang w:val="en-US"/>
        </w:rPr>
        <w:t>M</w:t>
      </w:r>
      <w:r w:rsidRPr="00143A91">
        <w:rPr>
          <w:szCs w:val="28"/>
        </w:rPr>
        <w:t>.</w:t>
      </w:r>
      <w:r>
        <w:rPr>
          <w:szCs w:val="28"/>
          <w:lang w:val="en-US"/>
        </w:rPr>
        <w:t>G</w:t>
      </w:r>
      <w:r w:rsidRPr="00143A91">
        <w:rPr>
          <w:szCs w:val="28"/>
        </w:rPr>
        <w:t>.</w:t>
      </w:r>
      <w:r w:rsidR="002E3FF7" w:rsidRPr="00143A91">
        <w:rPr>
          <w:szCs w:val="28"/>
        </w:rPr>
        <w:t xml:space="preserve"> </w:t>
      </w:r>
      <w:proofErr w:type="spellStart"/>
      <w:r w:rsidR="002E3FF7">
        <w:rPr>
          <w:szCs w:val="28"/>
          <w:lang w:val="en-US"/>
        </w:rPr>
        <w:t>Kesler</w:t>
      </w:r>
      <w:proofErr w:type="spellEnd"/>
      <w:r w:rsidRPr="00143A91">
        <w:rPr>
          <w:szCs w:val="28"/>
        </w:rPr>
        <w:t xml:space="preserve">, </w:t>
      </w:r>
      <w:r>
        <w:rPr>
          <w:szCs w:val="28"/>
          <w:lang w:val="en-US"/>
        </w:rPr>
        <w:t>B</w:t>
      </w:r>
      <w:r w:rsidRPr="00143A91">
        <w:rPr>
          <w:szCs w:val="28"/>
        </w:rPr>
        <w:t>.</w:t>
      </w:r>
      <w:r>
        <w:rPr>
          <w:szCs w:val="28"/>
          <w:lang w:val="en-US"/>
        </w:rPr>
        <w:t>I</w:t>
      </w:r>
      <w:r w:rsidRPr="00143A91">
        <w:rPr>
          <w:szCs w:val="28"/>
        </w:rPr>
        <w:t xml:space="preserve">. </w:t>
      </w:r>
      <w:r>
        <w:rPr>
          <w:szCs w:val="28"/>
          <w:lang w:val="en-US"/>
        </w:rPr>
        <w:t>Li</w:t>
      </w:r>
      <w:r w:rsidRPr="00143A91">
        <w:rPr>
          <w:szCs w:val="28"/>
        </w:rPr>
        <w:t xml:space="preserve">. </w:t>
      </w:r>
      <w:r w:rsidR="002E3FF7" w:rsidRPr="00D135D3">
        <w:rPr>
          <w:i/>
          <w:szCs w:val="28"/>
          <w:lang w:val="en-US"/>
        </w:rPr>
        <w:t>Hydrocarbon Processing</w:t>
      </w:r>
      <w:r w:rsidR="002E3FF7">
        <w:rPr>
          <w:szCs w:val="28"/>
          <w:lang w:val="en-US"/>
        </w:rPr>
        <w:t>.</w:t>
      </w:r>
      <w:r>
        <w:rPr>
          <w:szCs w:val="28"/>
          <w:lang w:val="en-US"/>
        </w:rPr>
        <w:t xml:space="preserve"> </w:t>
      </w:r>
      <w:proofErr w:type="gramStart"/>
      <w:r w:rsidRPr="00D135D3">
        <w:rPr>
          <w:b/>
          <w:szCs w:val="28"/>
          <w:lang w:val="en-US"/>
        </w:rPr>
        <w:t>55</w:t>
      </w:r>
      <w:r>
        <w:rPr>
          <w:szCs w:val="28"/>
          <w:lang w:val="en-US"/>
        </w:rPr>
        <w:t xml:space="preserve"> (</w:t>
      </w:r>
      <w:r w:rsidR="002E3FF7">
        <w:rPr>
          <w:szCs w:val="28"/>
          <w:lang w:val="en-US"/>
        </w:rPr>
        <w:t>1976</w:t>
      </w:r>
      <w:r>
        <w:rPr>
          <w:szCs w:val="28"/>
          <w:lang w:val="en-US"/>
        </w:rPr>
        <w:t xml:space="preserve">) </w:t>
      </w:r>
      <w:r w:rsidR="002E3FF7">
        <w:rPr>
          <w:szCs w:val="28"/>
          <w:lang w:val="en-US"/>
        </w:rPr>
        <w:t>153.</w:t>
      </w:r>
      <w:proofErr w:type="gramEnd"/>
    </w:p>
    <w:p w:rsidR="002E3FF7" w:rsidRPr="009821C3" w:rsidRDefault="00D135D3" w:rsidP="002E3FF7">
      <w:pPr>
        <w:spacing w:line="240" w:lineRule="auto"/>
        <w:ind w:firstLine="0"/>
        <w:rPr>
          <w:szCs w:val="28"/>
          <w:lang w:val="en-US"/>
        </w:rPr>
      </w:pPr>
      <w:r>
        <w:rPr>
          <w:szCs w:val="28"/>
          <w:lang w:val="en-US"/>
        </w:rPr>
        <w:t>9</w:t>
      </w:r>
      <w:r w:rsidR="002E3FF7" w:rsidRPr="009821C3">
        <w:rPr>
          <w:szCs w:val="28"/>
          <w:lang w:val="en-US"/>
        </w:rPr>
        <w:t>.</w:t>
      </w:r>
      <w:r>
        <w:rPr>
          <w:szCs w:val="28"/>
          <w:lang w:val="en-US"/>
        </w:rPr>
        <w:t xml:space="preserve"> M.R.</w:t>
      </w:r>
      <w:r w:rsidR="002E3FF7" w:rsidRPr="009821C3">
        <w:rPr>
          <w:szCs w:val="28"/>
          <w:lang w:val="en-US"/>
        </w:rPr>
        <w:t xml:space="preserve"> </w:t>
      </w:r>
      <w:proofErr w:type="spellStart"/>
      <w:r w:rsidR="002E3FF7">
        <w:rPr>
          <w:szCs w:val="28"/>
          <w:lang w:val="en-US"/>
        </w:rPr>
        <w:t>Riazi</w:t>
      </w:r>
      <w:proofErr w:type="spellEnd"/>
      <w:r>
        <w:rPr>
          <w:szCs w:val="28"/>
          <w:lang w:val="en-US"/>
        </w:rPr>
        <w:t xml:space="preserve">, </w:t>
      </w:r>
      <w:proofErr w:type="spellStart"/>
      <w:r w:rsidR="002E3FF7">
        <w:rPr>
          <w:szCs w:val="28"/>
          <w:lang w:val="en-US"/>
        </w:rPr>
        <w:t>Th.E</w:t>
      </w:r>
      <w:proofErr w:type="spellEnd"/>
      <w:r w:rsidR="002E3FF7">
        <w:rPr>
          <w:szCs w:val="28"/>
          <w:lang w:val="en-US"/>
        </w:rPr>
        <w:t xml:space="preserve">. </w:t>
      </w:r>
      <w:proofErr w:type="spellStart"/>
      <w:proofErr w:type="gramStart"/>
      <w:r w:rsidR="002E3FF7">
        <w:rPr>
          <w:szCs w:val="28"/>
          <w:lang w:val="en-US"/>
        </w:rPr>
        <w:t>Daubert</w:t>
      </w:r>
      <w:proofErr w:type="spellEnd"/>
      <w:r>
        <w:rPr>
          <w:szCs w:val="28"/>
          <w:lang w:val="en-US"/>
        </w:rPr>
        <w:t>.</w:t>
      </w:r>
      <w:proofErr w:type="gramEnd"/>
      <w:r>
        <w:rPr>
          <w:szCs w:val="28"/>
          <w:lang w:val="en-US"/>
        </w:rPr>
        <w:t xml:space="preserve"> </w:t>
      </w:r>
      <w:proofErr w:type="gramStart"/>
      <w:r w:rsidR="002E3FF7">
        <w:rPr>
          <w:szCs w:val="28"/>
          <w:lang w:val="en-US"/>
        </w:rPr>
        <w:t>Hydrocarbon Processing.</w:t>
      </w:r>
      <w:proofErr w:type="gramEnd"/>
      <w:r w:rsidR="002E3FF7">
        <w:rPr>
          <w:szCs w:val="28"/>
          <w:lang w:val="en-US"/>
        </w:rPr>
        <w:t xml:space="preserve"> </w:t>
      </w:r>
      <w:proofErr w:type="gramStart"/>
      <w:r w:rsidRPr="00D135D3">
        <w:rPr>
          <w:b/>
          <w:szCs w:val="28"/>
          <w:lang w:val="en-US"/>
        </w:rPr>
        <w:t>59</w:t>
      </w:r>
      <w:r>
        <w:rPr>
          <w:szCs w:val="28"/>
          <w:lang w:val="en-US"/>
        </w:rPr>
        <w:t xml:space="preserve"> (</w:t>
      </w:r>
      <w:r w:rsidR="002E3FF7">
        <w:rPr>
          <w:szCs w:val="28"/>
          <w:lang w:val="en-US"/>
        </w:rPr>
        <w:t>1980</w:t>
      </w:r>
      <w:r>
        <w:rPr>
          <w:szCs w:val="28"/>
          <w:lang w:val="en-US"/>
        </w:rPr>
        <w:t xml:space="preserve">) </w:t>
      </w:r>
      <w:r w:rsidR="002E3FF7">
        <w:rPr>
          <w:szCs w:val="28"/>
          <w:lang w:val="en-US"/>
        </w:rPr>
        <w:t>115.</w:t>
      </w:r>
      <w:proofErr w:type="gramEnd"/>
      <w:r w:rsidR="002E3FF7">
        <w:rPr>
          <w:szCs w:val="28"/>
          <w:lang w:val="en-US"/>
        </w:rPr>
        <w:t xml:space="preserve">   </w:t>
      </w:r>
    </w:p>
    <w:sectPr w:rsidR="002E3FF7" w:rsidRPr="009821C3" w:rsidSect="009C2D0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CF7"/>
    <w:multiLevelType w:val="hybridMultilevel"/>
    <w:tmpl w:val="DE2E2DB2"/>
    <w:lvl w:ilvl="0" w:tplc="3ACC2034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17B27"/>
    <w:multiLevelType w:val="hybridMultilevel"/>
    <w:tmpl w:val="AE54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27A47"/>
    <w:multiLevelType w:val="singleLevel"/>
    <w:tmpl w:val="753CE4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6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584CDB"/>
    <w:rsid w:val="00013C86"/>
    <w:rsid w:val="000379C0"/>
    <w:rsid w:val="00052F83"/>
    <w:rsid w:val="0005543B"/>
    <w:rsid w:val="00074F2B"/>
    <w:rsid w:val="00081622"/>
    <w:rsid w:val="000853B4"/>
    <w:rsid w:val="00092641"/>
    <w:rsid w:val="000B7EE3"/>
    <w:rsid w:val="000C371F"/>
    <w:rsid w:val="000C4A1D"/>
    <w:rsid w:val="00143A91"/>
    <w:rsid w:val="001470C8"/>
    <w:rsid w:val="00161904"/>
    <w:rsid w:val="001766BD"/>
    <w:rsid w:val="00176ADE"/>
    <w:rsid w:val="00182D93"/>
    <w:rsid w:val="00196807"/>
    <w:rsid w:val="001A274C"/>
    <w:rsid w:val="001B067D"/>
    <w:rsid w:val="001B61FD"/>
    <w:rsid w:val="001F67F0"/>
    <w:rsid w:val="00223852"/>
    <w:rsid w:val="002252FF"/>
    <w:rsid w:val="00281FB7"/>
    <w:rsid w:val="00285CA2"/>
    <w:rsid w:val="0029081C"/>
    <w:rsid w:val="002922E9"/>
    <w:rsid w:val="002A5280"/>
    <w:rsid w:val="002A7364"/>
    <w:rsid w:val="002E3FF7"/>
    <w:rsid w:val="002F4F71"/>
    <w:rsid w:val="00314C9A"/>
    <w:rsid w:val="00357EF6"/>
    <w:rsid w:val="00363773"/>
    <w:rsid w:val="0037619E"/>
    <w:rsid w:val="00390C04"/>
    <w:rsid w:val="003B2D93"/>
    <w:rsid w:val="003D446B"/>
    <w:rsid w:val="003F2671"/>
    <w:rsid w:val="003F7DF7"/>
    <w:rsid w:val="00430216"/>
    <w:rsid w:val="00431309"/>
    <w:rsid w:val="00432BFE"/>
    <w:rsid w:val="004335A2"/>
    <w:rsid w:val="004712E2"/>
    <w:rsid w:val="004C178D"/>
    <w:rsid w:val="004C50E7"/>
    <w:rsid w:val="004D2888"/>
    <w:rsid w:val="004D49E5"/>
    <w:rsid w:val="004E748A"/>
    <w:rsid w:val="004F0720"/>
    <w:rsid w:val="005256AC"/>
    <w:rsid w:val="0054263D"/>
    <w:rsid w:val="00554A99"/>
    <w:rsid w:val="0058424F"/>
    <w:rsid w:val="00584CDB"/>
    <w:rsid w:val="0059101F"/>
    <w:rsid w:val="005943AD"/>
    <w:rsid w:val="005B3C8A"/>
    <w:rsid w:val="005D6E6D"/>
    <w:rsid w:val="00602848"/>
    <w:rsid w:val="0062389C"/>
    <w:rsid w:val="00634B12"/>
    <w:rsid w:val="006529EE"/>
    <w:rsid w:val="00661CA5"/>
    <w:rsid w:val="00672D97"/>
    <w:rsid w:val="00690B2B"/>
    <w:rsid w:val="00692479"/>
    <w:rsid w:val="006A0D32"/>
    <w:rsid w:val="006B2546"/>
    <w:rsid w:val="00705EFA"/>
    <w:rsid w:val="00715A41"/>
    <w:rsid w:val="00732347"/>
    <w:rsid w:val="0073466E"/>
    <w:rsid w:val="00736047"/>
    <w:rsid w:val="007376BC"/>
    <w:rsid w:val="007A6552"/>
    <w:rsid w:val="007B1C53"/>
    <w:rsid w:val="007C1CDE"/>
    <w:rsid w:val="00805337"/>
    <w:rsid w:val="008534DE"/>
    <w:rsid w:val="008807F6"/>
    <w:rsid w:val="008C54D9"/>
    <w:rsid w:val="008D36A2"/>
    <w:rsid w:val="008D5148"/>
    <w:rsid w:val="008E0CE0"/>
    <w:rsid w:val="008F0CCE"/>
    <w:rsid w:val="008F6DC6"/>
    <w:rsid w:val="00907439"/>
    <w:rsid w:val="00912B13"/>
    <w:rsid w:val="009542E0"/>
    <w:rsid w:val="00957672"/>
    <w:rsid w:val="0099438D"/>
    <w:rsid w:val="009A0111"/>
    <w:rsid w:val="009A3C4C"/>
    <w:rsid w:val="009A6CB3"/>
    <w:rsid w:val="009C2D03"/>
    <w:rsid w:val="00A03666"/>
    <w:rsid w:val="00A126AC"/>
    <w:rsid w:val="00A1319A"/>
    <w:rsid w:val="00A373E9"/>
    <w:rsid w:val="00A50BD6"/>
    <w:rsid w:val="00A67574"/>
    <w:rsid w:val="00A77B82"/>
    <w:rsid w:val="00A854A0"/>
    <w:rsid w:val="00B0306C"/>
    <w:rsid w:val="00B21A58"/>
    <w:rsid w:val="00B25096"/>
    <w:rsid w:val="00B74833"/>
    <w:rsid w:val="00B7655F"/>
    <w:rsid w:val="00BB1D13"/>
    <w:rsid w:val="00BB2787"/>
    <w:rsid w:val="00BD7EF5"/>
    <w:rsid w:val="00BE68D4"/>
    <w:rsid w:val="00BF6EBC"/>
    <w:rsid w:val="00C24894"/>
    <w:rsid w:val="00C42B42"/>
    <w:rsid w:val="00C70765"/>
    <w:rsid w:val="00C951DE"/>
    <w:rsid w:val="00C96994"/>
    <w:rsid w:val="00CA5BAC"/>
    <w:rsid w:val="00CC68F6"/>
    <w:rsid w:val="00CD2772"/>
    <w:rsid w:val="00CE29F9"/>
    <w:rsid w:val="00CF3979"/>
    <w:rsid w:val="00D07556"/>
    <w:rsid w:val="00D135D3"/>
    <w:rsid w:val="00D34387"/>
    <w:rsid w:val="00D558E7"/>
    <w:rsid w:val="00D70335"/>
    <w:rsid w:val="00D95B3A"/>
    <w:rsid w:val="00DA524F"/>
    <w:rsid w:val="00DF1172"/>
    <w:rsid w:val="00E06235"/>
    <w:rsid w:val="00E25FF4"/>
    <w:rsid w:val="00E275ED"/>
    <w:rsid w:val="00E322DC"/>
    <w:rsid w:val="00E634D5"/>
    <w:rsid w:val="00EB0BEA"/>
    <w:rsid w:val="00EB46F3"/>
    <w:rsid w:val="00EB65B1"/>
    <w:rsid w:val="00EE7C41"/>
    <w:rsid w:val="00EF19AE"/>
    <w:rsid w:val="00EF63C7"/>
    <w:rsid w:val="00F12213"/>
    <w:rsid w:val="00F2276E"/>
    <w:rsid w:val="00F41A43"/>
    <w:rsid w:val="00F50669"/>
    <w:rsid w:val="00F92EDE"/>
    <w:rsid w:val="00F93D4D"/>
    <w:rsid w:val="00FA3313"/>
    <w:rsid w:val="00FD7230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A0"/>
    <w:pPr>
      <w:spacing w:line="360" w:lineRule="auto"/>
      <w:ind w:firstLine="567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21A58"/>
    <w:pPr>
      <w:widowControl w:val="0"/>
      <w:spacing w:line="240" w:lineRule="auto"/>
      <w:ind w:firstLine="720"/>
      <w:contextualSpacing w:val="0"/>
    </w:pPr>
    <w:rPr>
      <w:rFonts w:eastAsia="Times New Roman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61CA5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="Calibri" w:hAnsi="Calibri"/>
      <w:sz w:val="22"/>
    </w:rPr>
  </w:style>
  <w:style w:type="character" w:customStyle="1" w:styleId="a4">
    <w:name w:val="Верхний колонтитул Знак"/>
    <w:link w:val="a3"/>
    <w:uiPriority w:val="99"/>
    <w:semiHidden/>
    <w:rsid w:val="00661CA5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661CA5"/>
    <w:pPr>
      <w:widowControl w:val="0"/>
      <w:contextualSpacing w:val="0"/>
    </w:pPr>
    <w:rPr>
      <w:rFonts w:eastAsia="Times New Roman"/>
      <w:szCs w:val="24"/>
    </w:rPr>
  </w:style>
  <w:style w:type="character" w:customStyle="1" w:styleId="20">
    <w:name w:val="Основной текст с отступом 2 Знак"/>
    <w:link w:val="2"/>
    <w:rsid w:val="00661CA5"/>
    <w:rPr>
      <w:rFonts w:ascii="Times New Roman" w:eastAsia="Times New Roman" w:hAnsi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661CA5"/>
    <w:pPr>
      <w:tabs>
        <w:tab w:val="center" w:pos="4677"/>
        <w:tab w:val="right" w:pos="9355"/>
      </w:tabs>
      <w:spacing w:after="200" w:line="276" w:lineRule="auto"/>
      <w:ind w:firstLine="0"/>
      <w:contextualSpacing w:val="0"/>
      <w:jc w:val="left"/>
    </w:pPr>
    <w:rPr>
      <w:rFonts w:ascii="Calibri" w:hAnsi="Calibri"/>
      <w:sz w:val="22"/>
    </w:rPr>
  </w:style>
  <w:style w:type="character" w:customStyle="1" w:styleId="a6">
    <w:name w:val="Нижний колонтитул Знак"/>
    <w:link w:val="a5"/>
    <w:uiPriority w:val="99"/>
    <w:rsid w:val="00661CA5"/>
    <w:rPr>
      <w:sz w:val="22"/>
      <w:szCs w:val="22"/>
      <w:lang w:eastAsia="en-US"/>
    </w:rPr>
  </w:style>
  <w:style w:type="character" w:customStyle="1" w:styleId="a7">
    <w:name w:val="Текст Знак"/>
    <w:link w:val="a8"/>
    <w:semiHidden/>
    <w:rsid w:val="00B25096"/>
    <w:rPr>
      <w:rFonts w:ascii="Courier New" w:eastAsia="Times New Roman" w:hAnsi="Courier New"/>
    </w:rPr>
  </w:style>
  <w:style w:type="paragraph" w:styleId="a8">
    <w:name w:val="Plain Text"/>
    <w:basedOn w:val="a"/>
    <w:link w:val="a7"/>
    <w:semiHidden/>
    <w:rsid w:val="00B25096"/>
    <w:pPr>
      <w:spacing w:line="240" w:lineRule="auto"/>
      <w:ind w:firstLine="0"/>
      <w:contextualSpacing w:val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1">
    <w:name w:val="Текст Знак1"/>
    <w:uiPriority w:val="99"/>
    <w:semiHidden/>
    <w:rsid w:val="00B25096"/>
    <w:rPr>
      <w:rFonts w:ascii="Courier New" w:hAnsi="Courier New" w:cs="Courier New"/>
      <w:lang w:eastAsia="en-US"/>
    </w:rPr>
  </w:style>
  <w:style w:type="character" w:styleId="a9">
    <w:name w:val="Hyperlink"/>
    <w:uiPriority w:val="99"/>
    <w:rsid w:val="00B2509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51D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51DE"/>
    <w:rPr>
      <w:rFonts w:ascii="Tahoma" w:hAnsi="Tahoma" w:cs="Tahoma"/>
      <w:sz w:val="16"/>
      <w:szCs w:val="16"/>
      <w:lang w:eastAsia="en-US"/>
    </w:rPr>
  </w:style>
  <w:style w:type="character" w:styleId="ac">
    <w:name w:val="Placeholder Text"/>
    <w:basedOn w:val="a0"/>
    <w:uiPriority w:val="99"/>
    <w:semiHidden/>
    <w:rsid w:val="00D70335"/>
    <w:rPr>
      <w:color w:val="808080"/>
    </w:rPr>
  </w:style>
  <w:style w:type="table" w:styleId="ad">
    <w:name w:val="Table Grid"/>
    <w:basedOn w:val="a1"/>
    <w:uiPriority w:val="59"/>
    <w:rsid w:val="00957672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252FF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77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0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exandrov_kgrd@mail.ru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Специфические особенности жидкого состояния – интенсивность взаимо-действия частиц и их большая неупорядоченность  привели к заметному отста-ванию теории жидкости от теорий газового и кристаллического состояний</vt:lpstr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Специфические особенности жидкого состояния – интенсивность взаимо-действия частиц и их большая неупорядоченность  привели к заметному отста-ванию теории жидкости от теорий газового и кристаллического состояний</dc:title>
  <dc:subject/>
  <dc:creator>Вадим Коротковский</dc:creator>
  <cp:keywords/>
  <cp:lastModifiedBy>admin</cp:lastModifiedBy>
  <cp:revision>13</cp:revision>
  <dcterms:created xsi:type="dcterms:W3CDTF">2014-08-12T15:07:00Z</dcterms:created>
  <dcterms:modified xsi:type="dcterms:W3CDTF">2014-08-14T08:57:00Z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