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CA" w:rsidRDefault="00EF74B4" w:rsidP="00EF74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ОБЪЕМНЫЕ СВОЙСТВА РАСПЛАВОВ МЕДЬ-АЛЮМИНИЙ</w:t>
      </w:r>
    </w:p>
    <w:p w:rsidR="00EF74B4" w:rsidRDefault="00EF74B4" w:rsidP="00EF74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ИЗМЕРЕНИЯ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ГАММА-МЕТОДОМ</w:t>
      </w:r>
      <w:proofErr w:type="gramEnd"/>
    </w:p>
    <w:p w:rsidR="00487359" w:rsidRDefault="008F1AE5" w:rsidP="00EF74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 А.Р.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487359">
        <w:rPr>
          <w:rFonts w:ascii="Times New Roman" w:hAnsi="Times New Roman" w:cs="Times New Roman"/>
          <w:sz w:val="28"/>
          <w:szCs w:val="28"/>
          <w:u w:val="single"/>
        </w:rPr>
        <w:t>Попель</w:t>
      </w:r>
      <w:proofErr w:type="spellEnd"/>
      <w:r w:rsidRPr="00487359">
        <w:rPr>
          <w:rFonts w:ascii="Times New Roman" w:hAnsi="Times New Roman" w:cs="Times New Roman"/>
          <w:sz w:val="28"/>
          <w:szCs w:val="28"/>
          <w:u w:val="single"/>
        </w:rPr>
        <w:t xml:space="preserve"> П.С.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, Борисенко А.В.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, Сидоров В.Е.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 w:rsidR="00687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359" w:rsidRPr="00487359" w:rsidRDefault="00487359" w:rsidP="004873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73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1)</w:t>
      </w:r>
      <w:r w:rsidRPr="00487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Уральский институт государственной противопожарной службы МЧС РФ, </w:t>
      </w:r>
      <w:r w:rsidR="00687E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Россия, </w:t>
      </w:r>
      <w:r w:rsidRPr="00487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Екатеринбург</w:t>
      </w:r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</w:t>
      </w:r>
      <w:proofErr w:type="gramStart"/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.М</w:t>
      </w:r>
      <w:proofErr w:type="gramEnd"/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ира</w:t>
      </w:r>
      <w:proofErr w:type="spellEnd"/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9. </w:t>
      </w:r>
      <w:r w:rsidR="000916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="000916E5" w:rsidRP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0916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r w:rsidR="000916E5" w:rsidRP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="000916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alexzandrr</w:t>
      </w:r>
      <w:proofErr w:type="spellEnd"/>
      <w:r w:rsidR="000916E5" w:rsidRP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@</w:t>
      </w:r>
      <w:r w:rsidR="00C8184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r w:rsidR="00C81849" w:rsidRP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="00C8184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ru</w:t>
      </w:r>
      <w:proofErr w:type="spellEnd"/>
      <w:r w:rsidR="00091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87359" w:rsidRPr="006E03B6" w:rsidRDefault="00487359" w:rsidP="004873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73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2)</w:t>
      </w:r>
      <w:r w:rsidRPr="00487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Уральский государственный педагогический университет, </w:t>
      </w:r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Россия, </w:t>
      </w:r>
      <w:r w:rsidRPr="00487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Екатеринбург</w:t>
      </w:r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gramStart"/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.К</w:t>
      </w:r>
      <w:proofErr w:type="gramEnd"/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осмонавтов</w:t>
      </w:r>
      <w:proofErr w:type="spellEnd"/>
      <w:r w:rsidR="00DB1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26. </w:t>
      </w:r>
      <w:r w:rsidR="00DB11E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="00DB11EF" w:rsidRPr="006E0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DB11E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r w:rsidR="00DB11EF" w:rsidRPr="006E0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hyperlink r:id="rId7" w:history="1">
        <w:r w:rsidR="003533FE" w:rsidRPr="00E44D3B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pspopel</w:t>
        </w:r>
        <w:r w:rsidR="003533FE" w:rsidRPr="006E03B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</w:t>
        </w:r>
        <w:r w:rsidR="003533FE" w:rsidRPr="00E44D3B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mail</w:t>
        </w:r>
        <w:r w:rsidR="003533FE" w:rsidRPr="006E03B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proofErr w:type="spellStart"/>
        <w:r w:rsidR="003533FE" w:rsidRPr="00E44D3B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  <w:proofErr w:type="spellEnd"/>
      </w:hyperlink>
    </w:p>
    <w:p w:rsidR="003533FE" w:rsidRPr="006E03B6" w:rsidRDefault="003533FE" w:rsidP="004873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6A49" w:rsidRDefault="00290516" w:rsidP="00F95C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516">
        <w:rPr>
          <w:rFonts w:ascii="Times New Roman" w:eastAsia="Calibri" w:hAnsi="Times New Roman" w:cs="Times New Roman"/>
          <w:sz w:val="28"/>
          <w:szCs w:val="28"/>
        </w:rPr>
        <w:t>Целью данной работы было экспериментальное исследование температурных и концентрационных зависимостей плотности расплавов медь-алюминий</w:t>
      </w:r>
      <w:r w:rsidR="00CA6A4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290516">
        <w:rPr>
          <w:rFonts w:ascii="Times New Roman" w:eastAsia="Calibri" w:hAnsi="Times New Roman" w:cs="Times New Roman"/>
          <w:sz w:val="28"/>
          <w:szCs w:val="28"/>
        </w:rPr>
        <w:t xml:space="preserve"> температур их перехода из метастабильного микрогетерогенного состояния в состояние истинного раствора</w:t>
      </w:r>
      <w:r w:rsidR="00CA6A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7E56" w:rsidRPr="008E7E56" w:rsidRDefault="008E7E56" w:rsidP="00F95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72"/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определяли по поглощению исследуемым образцом узкого пучка </w:t>
      </w:r>
      <w:proofErr w:type="gramStart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гамма-квантов</w:t>
      </w:r>
      <w:proofErr w:type="gramEnd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погрешности измерений плотности в стандартную методику 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внесено уточнение, учитывающее большую разницу плотностей компонентов системы 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уточненным расчетам, относительная погрешность составила 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B1"/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0.2%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Проверочные опыты с </w:t>
      </w:r>
      <w:proofErr w:type="gramStart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жидкими</w:t>
      </w:r>
      <w:proofErr w:type="gramEnd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алюминием и медью показали, что полученные в них значения плотности не уступают по точности наиболее надежным литературным данным</w:t>
      </w:r>
      <w:r w:rsidR="00F9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Расхождения кривых 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72"/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в ходе нагрева и охлаждения этих металлов, которые выходили бы за пределы оцененной погрешности измерений, не отмечено.</w:t>
      </w:r>
      <w:proofErr w:type="gramEnd"/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позволяет рассматривать зафиксированный в дальнейшем гистерезис температурных зависимостей плотности бинарных расплавов как объективно наблюдаемый эффект. </w:t>
      </w:r>
    </w:p>
    <w:p w:rsidR="008E7E56" w:rsidRPr="008E7E56" w:rsidRDefault="008E7E56" w:rsidP="00F95C4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Исследованы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сплавов 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8E7E5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концентрации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концентрационный интервал от 10 до 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второго компонента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13 из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гетерогенными в твердом состоянии, </w:t>
      </w:r>
      <w:r w:rsidR="00171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B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17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плавления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</w:t>
      </w:r>
      <w:r w:rsidR="00F95C4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="00F95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метастабильных микрогетерогенных расплавов, в которых сосуществуют дисперсная и дисперсионная фазы и которые становятся гомогенными только после перегрева над ликвидусом до специфических для каждого состава </w:t>
      </w:r>
      <w:r w:rsidRPr="008E7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температур гомогенизации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71E86" w:rsidRDefault="008E7E56" w:rsidP="00171E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общей чертой полученных зависимостей </w:t>
      </w:r>
      <w:r w:rsidRPr="008E7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2"/>
      </w:r>
      <w:r w:rsidRPr="008E7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(Т)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расхождение ветвей нагрева и охлаждения (</w:t>
      </w:r>
      <w:r w:rsidRPr="008E7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гистерезис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A2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</w:t>
      </w:r>
      <w:r w:rsidR="00A272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существенных и необратимых изменениях строения просвечиваемой зоны в большинстве исследованных образцов. 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температур, близких к точкам ветвления температурных зависимостей плотности при нагреве и последующем охлаждении</w:t>
      </w:r>
      <w:r w:rsidR="0017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(около 1300</w:t>
      </w:r>
      <w:r w:rsidR="00171E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171E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большинстве сплавов)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происходило необратимое разрушение этой </w:t>
      </w:r>
      <w:proofErr w:type="gram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микрогетерогенности</w:t>
      </w:r>
      <w:proofErr w:type="gram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 переходила в термодинамически устойчивое состояние истинного раствора, которое и сохраняла при последующем охлаждении вплоть до начала кристаллизации.</w:t>
      </w:r>
    </w:p>
    <w:p w:rsidR="002725A5" w:rsidRPr="002725A5" w:rsidRDefault="00171E86" w:rsidP="00171E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неожиданным результатом наших опытов явилось обнаружение ярко выраженного гистерезиса плотности 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расплавов, полученных при плавлении гомогенных кристаллических образцов стехиометрических составов </w:t>
      </w:r>
      <w:proofErr w:type="spellStart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50 % 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особенно </w:t>
      </w:r>
      <w:proofErr w:type="spellStart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67.8 % 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коллеги </w:t>
      </w:r>
      <w:proofErr w:type="spell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Р.Е.Рыльцев</w:t>
      </w:r>
      <w:proofErr w:type="spell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пишут о возможности сохранения прочных межатомных связей, свойственных наиболее </w:t>
      </w:r>
      <w:proofErr w:type="gramStart"/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тугоплавким</w:t>
      </w:r>
      <w:proofErr w:type="gramEnd"/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интерметаллидам</w:t>
      </w:r>
      <w:proofErr w:type="spellEnd"/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изучаемой системы (</w:t>
      </w:r>
      <w:r w:rsidR="00F66A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="00F66A7F" w:rsidRPr="00F66A7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F66A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="00F66A7F" w:rsidRP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плавлении сравнительно низкоплавких соединений, подобных </w:t>
      </w:r>
      <w:proofErr w:type="spellStart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н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основе этих связей возможно формирование соответствующих дисперсных интерметаллических фаз. В этом случае избыточный алюминий образует дисперсионную среду низкой плотности, в которой частицы </w:t>
      </w:r>
      <w:proofErr w:type="gram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тугоплавкого</w:t>
      </w:r>
      <w:proofErr w:type="gram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интерметаллида</w:t>
      </w:r>
      <w:proofErr w:type="spell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оседают под действием гравитации. В нашей работе приводятся некоторые аргументы, косвенно подтверждающие реальность этой гипотезы. </w:t>
      </w:r>
    </w:p>
    <w:p w:rsidR="002725A5" w:rsidRPr="002725A5" w:rsidRDefault="001931D1" w:rsidP="00F95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изложенных выше результатов, 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значений плотности и других объемных свойств, соответствующих термодинамически устойчивым гомогенным растворам медь-алюминий, мы использовали величины, полученные в ходе охлаждения образцов от максимальной температуры (обычно около 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1400</w:t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ym w:font="Symbol" w:char="F0B0"/>
      </w:r>
      <w:r w:rsidR="002725A5"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725A5" w:rsidRPr="002725A5" w:rsidRDefault="001931D1" w:rsidP="00F95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емпературные зависимости плотности с коэффициентами корреляции </w:t>
      </w:r>
      <w:r w:rsidR="002725A5" w:rsidRPr="002725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приведенными в</w:t>
      </w:r>
      <w:proofErr w:type="gramStart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25A5"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могут быть аппроксимированы линейными функциями: </w:t>
      </w:r>
    </w:p>
    <w:p w:rsidR="002725A5" w:rsidRPr="002725A5" w:rsidRDefault="002725A5" w:rsidP="00F95C4A">
      <w:pPr>
        <w:tabs>
          <w:tab w:val="center" w:pos="3420"/>
          <w:tab w:val="right" w:pos="648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5A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5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7.25pt;height:18.75pt" o:ole="">
            <v:imagedata r:id="rId8" o:title=""/>
          </v:shape>
          <o:OLEObject Type="Embed" ProgID="Equation.3" ShapeID="_x0000_i1027" DrawAspect="Content" ObjectID="_1469035143" r:id="rId9"/>
        </w:objec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:rsidR="002725A5" w:rsidRPr="002725A5" w:rsidRDefault="002725A5" w:rsidP="00F95C4A">
      <w:pPr>
        <w:tabs>
          <w:tab w:val="center" w:pos="4253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72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ρ</w:t>
      </w:r>
      <w:r w:rsidRPr="002725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плотность при температуре ликвидуса </w:t>
      </w:r>
      <w:r w:rsidRPr="002725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2725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25A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60" w:dyaOrig="680">
          <v:shape id="_x0000_i1028" type="#_x0000_t75" style="width:62.25pt;height:37.5pt" o:ole="">
            <v:imagedata r:id="rId10" o:title=""/>
          </v:shape>
          <o:OLEObject Type="Embed" ProgID="Equation.3" ShapeID="_x0000_i1028" DrawAspect="Content" ObjectID="_1469035144" r:id="rId11"/>
        </w:objec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Параметры линейной аппроксимации (1) также приведены в</w:t>
      </w:r>
      <w:proofErr w:type="gramStart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</w:t>
      </w:r>
      <w:r w:rsidR="00193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этим данным на </w:t>
      </w:r>
      <w:r w:rsidR="000C46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0C468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</w:t>
      </w:r>
      <w:proofErr w:type="gramStart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сплайн-аппроксимации</w:t>
      </w:r>
      <w:proofErr w:type="gramEnd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построены изотермы плотности расплавов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5A5" w:rsidRPr="002725A5" w:rsidRDefault="002725A5" w:rsidP="00F95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C46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0C4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4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таблицы 1 построена концентрационная зависимость коэффициента объемного расширения расплавов медь-алюминий. Она очень сложна, что отражает сложность диаграммы состояний этой системы. Обращают внимание экстремумы этой кривой при составах, соответствующих интерметаллическим соединениям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3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CuAl</w:t>
      </w:r>
      <w:proofErr w:type="spellEnd"/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наличие наводит на мысль о возможном существовании подобных атомных группировок и в жидком состоянии.</w:t>
      </w:r>
    </w:p>
    <w:p w:rsidR="00755F5F" w:rsidRDefault="002725A5" w:rsidP="00421682">
      <w:pPr>
        <w:tabs>
          <w:tab w:val="righ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полученные значения плотности, рассчитали концентрационные зависимости молярного объема </w:t>
      </w:r>
      <w:r w:rsidRPr="002725A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360">
          <v:shape id="_x0000_i1030" type="#_x0000_t75" style="width:27.75pt;height:23.25pt" o:ole="">
            <v:imagedata r:id="rId12" o:title=""/>
          </v:shape>
          <o:OLEObject Type="Embed" ProgID="Equation.DSMT4" ShapeID="_x0000_i1030" DrawAspect="Content" ObjectID="_1469035145" r:id="rId13"/>
        </w:objec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расплавов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Cu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Эти кривые </w:t>
      </w:r>
      <w:proofErr w:type="gramStart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немонотонны</w:t>
      </w:r>
      <w:proofErr w:type="gramEnd"/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в области концентраций от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272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90 %</w:t>
      </w: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причем разброс точек относительно любой сглаживающей кривой существенно превосходит погрешность измерения плотности, а значит, и молярного объема.</w:t>
      </w:r>
    </w:p>
    <w:p w:rsidR="00755F5F" w:rsidRDefault="00755F5F" w:rsidP="00421682">
      <w:pPr>
        <w:tabs>
          <w:tab w:val="righ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5A5" w:rsidRPr="002725A5" w:rsidRDefault="002725A5" w:rsidP="00421682">
      <w:pPr>
        <w:tabs>
          <w:tab w:val="righ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A65" w:rsidRDefault="00E81A65" w:rsidP="00FD4AB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</w:t>
      </w:r>
    </w:p>
    <w:tbl>
      <w:tblPr>
        <w:tblpPr w:leftFromText="180" w:rightFromText="180" w:vertAnchor="page" w:horzAnchor="margin" w:tblpXSpec="center" w:tblpY="2026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1060"/>
        <w:gridCol w:w="1325"/>
        <w:gridCol w:w="1325"/>
        <w:gridCol w:w="1325"/>
        <w:gridCol w:w="1325"/>
        <w:gridCol w:w="1060"/>
      </w:tblGrid>
      <w:tr w:rsidR="00E81A65" w:rsidRPr="00E81A65" w:rsidTr="000322BD">
        <w:trPr>
          <w:trHeight w:val="1243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алюминия,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.%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ºС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ym w:font="Symbol" w:char="F072"/>
            </w: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ym w:font="Symbol" w:char="F044"/>
            </w: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ρ</w:t>
            </w:r>
            <w:r w:rsidRPr="00E81A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L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α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-5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ºС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-1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44"/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α,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-5</w:t>
            </w:r>
          </w:p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ºС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-1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</w:tr>
      <w:tr w:rsidR="00E81A65" w:rsidRPr="00E81A65" w:rsidTr="000322BD">
        <w:trPr>
          <w:trHeight w:val="554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7970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,961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9,6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0,994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9,7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0,995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1032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0,995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1049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6700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11,9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0,996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0,994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1022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12,1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0,995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5640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0,992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10,8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0,992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5299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4938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0,994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4345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10,9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0,995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4238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10,80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0,08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0,997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3881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8,13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0,09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0,994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3691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8,4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0,994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3239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0,995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2952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9,7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0,991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640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2575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12,1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0,996</w:t>
            </w:r>
          </w:p>
        </w:tc>
      </w:tr>
      <w:tr w:rsidR="00E81A65" w:rsidRPr="00E81A65" w:rsidTr="000322BD">
        <w:trPr>
          <w:trHeight w:val="626"/>
        </w:trPr>
        <w:tc>
          <w:tcPr>
            <w:tcW w:w="2013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661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237</w:t>
            </w: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12,4</w:t>
            </w:r>
          </w:p>
        </w:tc>
        <w:tc>
          <w:tcPr>
            <w:tcW w:w="1325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60" w:type="dxa"/>
            <w:vAlign w:val="center"/>
          </w:tcPr>
          <w:p w:rsidR="00E81A65" w:rsidRPr="00E81A65" w:rsidRDefault="00E81A65" w:rsidP="00E8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0,986</w:t>
            </w:r>
          </w:p>
        </w:tc>
      </w:tr>
    </w:tbl>
    <w:p w:rsidR="00E81A65" w:rsidRDefault="00153589" w:rsidP="008E7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6F790A58" wp14:editId="118ED279">
            <wp:extent cx="5324475" cy="34861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679F" w:rsidRDefault="00153589" w:rsidP="005D070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</w:t>
      </w:r>
      <w:r w:rsidR="002D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706" w:rsidRPr="005D0706" w:rsidRDefault="005D0706" w:rsidP="005D070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79F" w:rsidRDefault="002D679F" w:rsidP="008E7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5257800" cy="350520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9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79F" w:rsidRDefault="002D679F" w:rsidP="008E7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Рис.2. </w:t>
      </w:r>
    </w:p>
    <w:p w:rsidR="005D0706" w:rsidRPr="005D0706" w:rsidRDefault="005D0706" w:rsidP="008E7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2D679F" w:rsidRPr="0010139F" w:rsidRDefault="0010139F" w:rsidP="0010139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R.E.</w:t>
      </w:r>
      <w:r w:rsidR="002D679F" w:rsidRPr="001013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Ryltcev</w:t>
      </w:r>
      <w:proofErr w:type="spellEnd"/>
      <w:proofErr w:type="gramStart"/>
      <w:r w:rsidR="002D679F" w:rsidRPr="001013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L.D.Son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2D679F" w:rsidRPr="001013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Physica</w:t>
      </w:r>
      <w:proofErr w:type="spellEnd"/>
      <w:r w:rsidR="002D679F" w:rsidRPr="001013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B.</w:t>
      </w:r>
      <w:r w:rsidR="002D679F" w:rsidRPr="001013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406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(2011) </w:t>
      </w:r>
      <w:r w:rsidR="002D679F" w:rsidRPr="001013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3625.</w:t>
      </w:r>
      <w:r w:rsidR="009B1E64" w:rsidRPr="001013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0139F" w:rsidRPr="0010139F" w:rsidRDefault="0010139F" w:rsidP="0010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10139F" w:rsidRPr="0010139F" w:rsidSect="008F1AE5">
      <w:pgSz w:w="11906" w:h="16838"/>
      <w:pgMar w:top="1134" w:right="1134" w:bottom="141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F45B6"/>
    <w:multiLevelType w:val="hybridMultilevel"/>
    <w:tmpl w:val="971A3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B4"/>
    <w:rsid w:val="000916E5"/>
    <w:rsid w:val="000C468D"/>
    <w:rsid w:val="000F7F7E"/>
    <w:rsid w:val="0010139F"/>
    <w:rsid w:val="00153589"/>
    <w:rsid w:val="00171E86"/>
    <w:rsid w:val="001931D1"/>
    <w:rsid w:val="002725A5"/>
    <w:rsid w:val="00290516"/>
    <w:rsid w:val="002B2917"/>
    <w:rsid w:val="002D679F"/>
    <w:rsid w:val="003533FE"/>
    <w:rsid w:val="00421682"/>
    <w:rsid w:val="00487359"/>
    <w:rsid w:val="00487755"/>
    <w:rsid w:val="004D271C"/>
    <w:rsid w:val="005D0706"/>
    <w:rsid w:val="006275CA"/>
    <w:rsid w:val="00641BF7"/>
    <w:rsid w:val="00687EFD"/>
    <w:rsid w:val="006E03B6"/>
    <w:rsid w:val="00755F5F"/>
    <w:rsid w:val="007B4CEC"/>
    <w:rsid w:val="00806BAC"/>
    <w:rsid w:val="008810EE"/>
    <w:rsid w:val="008E7E56"/>
    <w:rsid w:val="008F1AE5"/>
    <w:rsid w:val="009B1E64"/>
    <w:rsid w:val="00A27292"/>
    <w:rsid w:val="00A5644E"/>
    <w:rsid w:val="00B409C0"/>
    <w:rsid w:val="00C81849"/>
    <w:rsid w:val="00CA6A49"/>
    <w:rsid w:val="00D31DDD"/>
    <w:rsid w:val="00DB11EF"/>
    <w:rsid w:val="00E81A65"/>
    <w:rsid w:val="00EF74B4"/>
    <w:rsid w:val="00F66A7F"/>
    <w:rsid w:val="00F95C4A"/>
    <w:rsid w:val="00FA0EE9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3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9C0"/>
    <w:rPr>
      <w:rFonts w:ascii="Tahoma" w:hAnsi="Tahoma" w:cs="Tahoma"/>
      <w:sz w:val="16"/>
      <w:szCs w:val="16"/>
    </w:rPr>
  </w:style>
  <w:style w:type="character" w:styleId="a6">
    <w:name w:val="Strong"/>
    <w:qFormat/>
    <w:rsid w:val="0010139F"/>
    <w:rPr>
      <w:b/>
      <w:bCs/>
    </w:rPr>
  </w:style>
  <w:style w:type="paragraph" w:styleId="a7">
    <w:name w:val="List Paragraph"/>
    <w:basedOn w:val="a"/>
    <w:uiPriority w:val="34"/>
    <w:qFormat/>
    <w:rsid w:val="00101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3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9C0"/>
    <w:rPr>
      <w:rFonts w:ascii="Tahoma" w:hAnsi="Tahoma" w:cs="Tahoma"/>
      <w:sz w:val="16"/>
      <w:szCs w:val="16"/>
    </w:rPr>
  </w:style>
  <w:style w:type="character" w:styleId="a6">
    <w:name w:val="Strong"/>
    <w:qFormat/>
    <w:rsid w:val="0010139F"/>
    <w:rPr>
      <w:b/>
      <w:bCs/>
    </w:rPr>
  </w:style>
  <w:style w:type="paragraph" w:styleId="a7">
    <w:name w:val="List Paragraph"/>
    <w:basedOn w:val="a"/>
    <w:uiPriority w:val="34"/>
    <w:qFormat/>
    <w:rsid w:val="0010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hyperlink" Target="mailto:pspopel@mail.ru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3266868257438342E-2"/>
          <c:y val="0.10753333863570083"/>
          <c:w val="0.88328830133691483"/>
          <c:h val="0.76334526366022426"/>
        </c:manualLayout>
      </c:layout>
      <c:scatterChart>
        <c:scatterStyle val="smoothMarker"/>
        <c:varyColors val="0"/>
        <c:ser>
          <c:idx val="4"/>
          <c:order val="0"/>
          <c:tx>
            <c:v>700 °C</c:v>
          </c:tx>
          <c:spPr>
            <a:ln w="19050">
              <a:solidFill>
                <a:prstClr val="black"/>
              </a:solidFill>
              <a:prstDash val="lgDash"/>
            </a:ln>
          </c:spPr>
          <c:marker>
            <c:symbol val="triangle"/>
            <c:size val="7"/>
            <c:spPr>
              <a:solidFill>
                <a:sysClr val="windowText" lastClr="000000"/>
              </a:solidFill>
              <a:ln>
                <a:solidFill>
                  <a:prstClr val="black"/>
                </a:solidFill>
              </a:ln>
            </c:spPr>
          </c:marker>
          <c:xVal>
            <c:numRef>
              <c:f>Рабочий!$CY$155:$CY$162</c:f>
              <c:numCache>
                <c:formatCode>General</c:formatCode>
                <c:ptCount val="8"/>
                <c:pt idx="0">
                  <c:v>60</c:v>
                </c:pt>
                <c:pt idx="1">
                  <c:v>65</c:v>
                </c:pt>
                <c:pt idx="2">
                  <c:v>67.8</c:v>
                </c:pt>
                <c:pt idx="3">
                  <c:v>75</c:v>
                </c:pt>
                <c:pt idx="4">
                  <c:v>82.9</c:v>
                </c:pt>
                <c:pt idx="5">
                  <c:v>90</c:v>
                </c:pt>
                <c:pt idx="6">
                  <c:v>95</c:v>
                </c:pt>
                <c:pt idx="7">
                  <c:v>100</c:v>
                </c:pt>
              </c:numCache>
            </c:numRef>
          </c:xVal>
          <c:yVal>
            <c:numRef>
              <c:f>Рабочий!$DN$153:$DU$153</c:f>
              <c:numCache>
                <c:formatCode>0</c:formatCode>
                <c:ptCount val="8"/>
                <c:pt idx="0">
                  <c:v>4344.6855887315742</c:v>
                </c:pt>
                <c:pt idx="1">
                  <c:v>4201.2904167946908</c:v>
                </c:pt>
                <c:pt idx="2">
                  <c:v>3846.8955896016741</c:v>
                </c:pt>
                <c:pt idx="3">
                  <c:v>3653.6128851478006</c:v>
                </c:pt>
                <c:pt idx="4">
                  <c:v>3192.9407371893662</c:v>
                </c:pt>
                <c:pt idx="5">
                  <c:v>2937.483406247221</c:v>
                </c:pt>
                <c:pt idx="6">
                  <c:v>2556.725104430936</c:v>
                </c:pt>
                <c:pt idx="7">
                  <c:v>2362.2193775445439</c:v>
                </c:pt>
              </c:numCache>
            </c:numRef>
          </c:yVal>
          <c:smooth val="1"/>
        </c:ser>
        <c:ser>
          <c:idx val="2"/>
          <c:order val="1"/>
          <c:tx>
            <c:v>900 °C</c:v>
          </c:tx>
          <c:spPr>
            <a:ln w="19050">
              <a:solidFill>
                <a:prstClr val="black"/>
              </a:solidFill>
              <a:prstDash val="lgDashDotDot"/>
            </a:ln>
          </c:spPr>
          <c:marker>
            <c:symbol val="diamond"/>
            <c:size val="7"/>
            <c:spPr>
              <a:noFill/>
              <a:ln w="19050">
                <a:solidFill>
                  <a:prstClr val="black"/>
                </a:solidFill>
              </a:ln>
            </c:spPr>
          </c:marker>
          <c:xVal>
            <c:numRef>
              <c:f>Рабочий!$CY$152:$CY$162</c:f>
              <c:numCache>
                <c:formatCode>General</c:formatCode>
                <c:ptCount val="11"/>
                <c:pt idx="0">
                  <c:v>45</c:v>
                </c:pt>
                <c:pt idx="1">
                  <c:v>50</c:v>
                </c:pt>
                <c:pt idx="2">
                  <c:v>55</c:v>
                </c:pt>
                <c:pt idx="3">
                  <c:v>60</c:v>
                </c:pt>
                <c:pt idx="4">
                  <c:v>65</c:v>
                </c:pt>
                <c:pt idx="5">
                  <c:v>67.8</c:v>
                </c:pt>
                <c:pt idx="6">
                  <c:v>75</c:v>
                </c:pt>
                <c:pt idx="7">
                  <c:v>82.9</c:v>
                </c:pt>
                <c:pt idx="8">
                  <c:v>90</c:v>
                </c:pt>
                <c:pt idx="9">
                  <c:v>95</c:v>
                </c:pt>
                <c:pt idx="10">
                  <c:v>100</c:v>
                </c:pt>
              </c:numCache>
            </c:numRef>
          </c:xVal>
          <c:yVal>
            <c:numRef>
              <c:f>Рабочий!$DK$161:$DU$161</c:f>
              <c:numCache>
                <c:formatCode>0</c:formatCode>
                <c:ptCount val="11"/>
                <c:pt idx="0">
                  <c:v>5419.8498625826915</c:v>
                </c:pt>
                <c:pt idx="1">
                  <c:v>5272.2294273591824</c:v>
                </c:pt>
                <c:pt idx="2">
                  <c:v>4883.6719002304299</c:v>
                </c:pt>
                <c:pt idx="3">
                  <c:v>4249.5973289422882</c:v>
                </c:pt>
                <c:pt idx="4">
                  <c:v>4109.7220781316819</c:v>
                </c:pt>
                <c:pt idx="5">
                  <c:v>3783.8193960026733</c:v>
                </c:pt>
                <c:pt idx="6">
                  <c:v>3591.5409641159313</c:v>
                </c:pt>
                <c:pt idx="7">
                  <c:v>3131.374481978411</c:v>
                </c:pt>
                <c:pt idx="8">
                  <c:v>2880.1703373578853</c:v>
                </c:pt>
                <c:pt idx="9">
                  <c:v>2494.4882534322664</c:v>
                </c:pt>
                <c:pt idx="10">
                  <c:v>2303.1711127562967</c:v>
                </c:pt>
              </c:numCache>
            </c:numRef>
          </c:yVal>
          <c:smooth val="1"/>
        </c:ser>
        <c:ser>
          <c:idx val="0"/>
          <c:order val="2"/>
          <c:tx>
            <c:v>1100 °C</c:v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star"/>
            <c:size val="7"/>
            <c:spPr>
              <a:ln w="19050">
                <a:solidFill>
                  <a:prstClr val="black"/>
                </a:solidFill>
              </a:ln>
            </c:spPr>
          </c:marker>
          <c:xVal>
            <c:numRef>
              <c:f>Рабочий!$CY$144:$CY$162</c:f>
              <c:numCache>
                <c:formatCode>General</c:formatCode>
                <c:ptCount val="1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18</c:v>
                </c:pt>
                <c:pt idx="4">
                  <c:v>25</c:v>
                </c:pt>
                <c:pt idx="5">
                  <c:v>30</c:v>
                </c:pt>
                <c:pt idx="6">
                  <c:v>34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  <c:pt idx="10">
                  <c:v>55</c:v>
                </c:pt>
                <c:pt idx="11">
                  <c:v>60</c:v>
                </c:pt>
                <c:pt idx="12">
                  <c:v>65</c:v>
                </c:pt>
                <c:pt idx="13">
                  <c:v>67.8</c:v>
                </c:pt>
                <c:pt idx="14">
                  <c:v>75</c:v>
                </c:pt>
                <c:pt idx="15">
                  <c:v>82.9</c:v>
                </c:pt>
                <c:pt idx="16">
                  <c:v>90</c:v>
                </c:pt>
                <c:pt idx="17">
                  <c:v>95</c:v>
                </c:pt>
                <c:pt idx="18">
                  <c:v>100</c:v>
                </c:pt>
              </c:numCache>
            </c:numRef>
          </c:xVal>
          <c:yVal>
            <c:numRef>
              <c:f>Рабочий!$DC$169:$DU$169</c:f>
              <c:numCache>
                <c:formatCode>0</c:formatCode>
                <c:ptCount val="19"/>
                <c:pt idx="0">
                  <c:v>7958.9237079124723</c:v>
                </c:pt>
                <c:pt idx="1">
                  <c:v>7793.8446070577047</c:v>
                </c:pt>
                <c:pt idx="2">
                  <c:v>7303.0215290815004</c:v>
                </c:pt>
                <c:pt idx="3">
                  <c:v>6964.1611519828903</c:v>
                </c:pt>
                <c:pt idx="4">
                  <c:v>6658.7422143925814</c:v>
                </c:pt>
                <c:pt idx="5">
                  <c:v>6186.2640036216744</c:v>
                </c:pt>
                <c:pt idx="6">
                  <c:v>5956.4639032208206</c:v>
                </c:pt>
                <c:pt idx="7">
                  <c:v>5548.0597160162733</c:v>
                </c:pt>
                <c:pt idx="8">
                  <c:v>5303.0854651012523</c:v>
                </c:pt>
                <c:pt idx="9">
                  <c:v>5165.3822096978238</c:v>
                </c:pt>
                <c:pt idx="10">
                  <c:v>4785.2659853911018</c:v>
                </c:pt>
                <c:pt idx="11">
                  <c:v>4154.5090691530049</c:v>
                </c:pt>
                <c:pt idx="12">
                  <c:v>4018.1537394686698</c:v>
                </c:pt>
                <c:pt idx="13">
                  <c:v>3720.7432024036707</c:v>
                </c:pt>
                <c:pt idx="14">
                  <c:v>3529.4690430840619</c:v>
                </c:pt>
                <c:pt idx="15">
                  <c:v>3069.8082267674563</c:v>
                </c:pt>
                <c:pt idx="16">
                  <c:v>2822.8572684685491</c:v>
                </c:pt>
                <c:pt idx="17">
                  <c:v>2432.2514024335974</c:v>
                </c:pt>
                <c:pt idx="18">
                  <c:v>2244.1228479680494</c:v>
                </c:pt>
              </c:numCache>
            </c:numRef>
          </c:yVal>
          <c:smooth val="1"/>
        </c:ser>
        <c:ser>
          <c:idx val="1"/>
          <c:order val="3"/>
          <c:tx>
            <c:v>1300 °C</c:v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Рабочий!$CY$144:$CY$162</c:f>
              <c:numCache>
                <c:formatCode>General</c:formatCode>
                <c:ptCount val="1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18</c:v>
                </c:pt>
                <c:pt idx="4">
                  <c:v>25</c:v>
                </c:pt>
                <c:pt idx="5">
                  <c:v>30</c:v>
                </c:pt>
                <c:pt idx="6">
                  <c:v>34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  <c:pt idx="10">
                  <c:v>55</c:v>
                </c:pt>
                <c:pt idx="11">
                  <c:v>60</c:v>
                </c:pt>
                <c:pt idx="12">
                  <c:v>65</c:v>
                </c:pt>
                <c:pt idx="13">
                  <c:v>67.8</c:v>
                </c:pt>
                <c:pt idx="14">
                  <c:v>75</c:v>
                </c:pt>
                <c:pt idx="15">
                  <c:v>82.9</c:v>
                </c:pt>
                <c:pt idx="16">
                  <c:v>90</c:v>
                </c:pt>
                <c:pt idx="17">
                  <c:v>95</c:v>
                </c:pt>
                <c:pt idx="18">
                  <c:v>100</c:v>
                </c:pt>
              </c:numCache>
            </c:numRef>
          </c:xVal>
          <c:yVal>
            <c:numRef>
              <c:f>Рабочий!$DC$177:$DU$177</c:f>
              <c:numCache>
                <c:formatCode>0</c:formatCode>
                <c:ptCount val="19"/>
                <c:pt idx="0">
                  <c:v>7816.0807557350572</c:v>
                </c:pt>
                <c:pt idx="1">
                  <c:v>7643.3566111459832</c:v>
                </c:pt>
                <c:pt idx="2">
                  <c:v>7160.8376083696785</c:v>
                </c:pt>
                <c:pt idx="3">
                  <c:v>6819.6549485046398</c:v>
                </c:pt>
                <c:pt idx="4">
                  <c:v>6499.3189216411438</c:v>
                </c:pt>
                <c:pt idx="5">
                  <c:v>6044.5027412614736</c:v>
                </c:pt>
                <c:pt idx="6">
                  <c:v>5810.6765071335794</c:v>
                </c:pt>
                <c:pt idx="7">
                  <c:v>5418.1306458422596</c:v>
                </c:pt>
                <c:pt idx="8">
                  <c:v>5186.3210676198159</c:v>
                </c:pt>
                <c:pt idx="9">
                  <c:v>5058.5349920364615</c:v>
                </c:pt>
                <c:pt idx="10">
                  <c:v>4686.8600705517747</c:v>
                </c:pt>
                <c:pt idx="11">
                  <c:v>4059.4208093637185</c:v>
                </c:pt>
                <c:pt idx="12">
                  <c:v>3926.5854008056594</c:v>
                </c:pt>
                <c:pt idx="13">
                  <c:v>3657.6670088046694</c:v>
                </c:pt>
                <c:pt idx="14">
                  <c:v>3467.3971220521926</c:v>
                </c:pt>
                <c:pt idx="15">
                  <c:v>3008.241971556502</c:v>
                </c:pt>
                <c:pt idx="16">
                  <c:v>2765.5441995792144</c:v>
                </c:pt>
                <c:pt idx="17">
                  <c:v>2370.0145514349274</c:v>
                </c:pt>
                <c:pt idx="18">
                  <c:v>2185.0745831798031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0239360"/>
        <c:axId val="240241664"/>
      </c:scatterChart>
      <c:valAx>
        <c:axId val="240239360"/>
        <c:scaling>
          <c:orientation val="minMax"/>
          <c:max val="100"/>
          <c:min val="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r>
                  <a:rPr lang="en-US" sz="1600" b="1" i="0" baseline="0">
                    <a:effectLst/>
                  </a:rPr>
                  <a:t>x</a:t>
                </a:r>
                <a:r>
                  <a:rPr lang="en-US" sz="1600" b="1" i="0" baseline="-25000">
                    <a:effectLst/>
                  </a:rPr>
                  <a:t>Al</a:t>
                </a:r>
                <a:r>
                  <a:rPr lang="en-US" sz="1600" b="1" i="0" baseline="0">
                    <a:effectLst/>
                  </a:rPr>
                  <a:t>, </a:t>
                </a:r>
                <a:r>
                  <a:rPr lang="ru-RU" sz="1600" b="1" i="0" baseline="0">
                    <a:effectLst/>
                  </a:rPr>
                  <a:t>ат. %</a:t>
                </a:r>
                <a:endParaRPr lang="ru-RU" sz="16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5468516247851759"/>
              <c:y val="0.9363333333333332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0241664"/>
        <c:crosses val="autoZero"/>
        <c:crossBetween val="midCat"/>
        <c:majorUnit val="5"/>
      </c:valAx>
      <c:valAx>
        <c:axId val="240241664"/>
        <c:scaling>
          <c:orientation val="minMax"/>
          <c:max val="8000"/>
          <c:min val="2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r>
                  <a:rPr lang="el-GR"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ρ, </a:t>
                </a:r>
                <a:r>
                  <a:rPr lang="ru-RU" sz="14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кг/м</a:t>
                </a:r>
                <a:r>
                  <a:rPr lang="ru-RU" sz="1400" b="1" i="0" u="none" strike="noStrike" baseline="30000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3</a:t>
                </a:r>
              </a:p>
            </c:rich>
          </c:tx>
          <c:layout>
            <c:manualLayout>
              <c:xMode val="edge"/>
              <c:yMode val="edge"/>
              <c:x val="1.6177293712150221E-3"/>
              <c:y val="1.8823310802964139E-3"/>
            </c:manualLayout>
          </c:layout>
          <c:overlay val="0"/>
          <c:spPr>
            <a:solidFill>
              <a:schemeClr val="bg1"/>
            </a:solidFill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0239360"/>
        <c:crosses val="autoZero"/>
        <c:crossBetween val="midCat"/>
        <c:majorUnit val="500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3594027763415"/>
          <c:y val="0.12258782046183621"/>
          <c:w val="0.18039975772259237"/>
          <c:h val="0.30397465468331608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BB3A-84E2-4FF9-8DF6-080781B9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2014-08-08T14:31:00Z</dcterms:created>
  <dcterms:modified xsi:type="dcterms:W3CDTF">2014-08-08T14:31:00Z</dcterms:modified>
</cp:coreProperties>
</file>