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61" w:rsidRPr="00123EB5" w:rsidRDefault="000E2B61" w:rsidP="004B3557">
      <w:pPr>
        <w:jc w:val="center"/>
        <w:rPr>
          <w:shadow w:val="0"/>
          <w:szCs w:val="28"/>
        </w:rPr>
      </w:pPr>
      <w:proofErr w:type="gramStart"/>
      <w:r w:rsidRPr="00123EB5">
        <w:rPr>
          <w:b/>
          <w:bCs/>
          <w:shadow w:val="0"/>
          <w:color w:val="000000"/>
          <w:szCs w:val="27"/>
        </w:rPr>
        <w:t>ВЫСОКОТЕМПЕРАТУРНАЯ</w:t>
      </w:r>
      <w:proofErr w:type="gramEnd"/>
      <w:r w:rsidRPr="00123EB5">
        <w:rPr>
          <w:b/>
          <w:bCs/>
          <w:shadow w:val="0"/>
          <w:color w:val="000000"/>
          <w:szCs w:val="27"/>
        </w:rPr>
        <w:t xml:space="preserve"> ТЕМПЕРАТУРОПРОВОДНОСТЬ ТВЕРДЫХ РАСТВОРОВ СИСТЕМЫ </w:t>
      </w:r>
      <w:r w:rsidRPr="007C6174">
        <w:rPr>
          <w:b/>
          <w:bCs/>
          <w:i/>
          <w:shadow w:val="0"/>
          <w:color w:val="000000"/>
          <w:szCs w:val="27"/>
        </w:rPr>
        <w:t>Y-H</w:t>
      </w:r>
      <w:r w:rsidR="007C6174">
        <w:rPr>
          <w:b/>
          <w:bCs/>
          <w:i/>
          <w:shadow w:val="0"/>
          <w:color w:val="000000"/>
          <w:szCs w:val="27"/>
          <w:lang w:val="en-US"/>
        </w:rPr>
        <w:t>o</w:t>
      </w:r>
      <w:r w:rsidRPr="00123EB5">
        <w:rPr>
          <w:shadow w:val="0"/>
          <w:color w:val="000000"/>
          <w:sz w:val="27"/>
          <w:szCs w:val="27"/>
        </w:rPr>
        <w:br/>
      </w:r>
      <w:r w:rsidRPr="00123EB5">
        <w:rPr>
          <w:shadow w:val="0"/>
          <w:color w:val="000000"/>
          <w:szCs w:val="28"/>
          <w:u w:val="single"/>
        </w:rPr>
        <w:t>Ивлиев А.Д.</w:t>
      </w:r>
      <w:r w:rsidRPr="00123EB5">
        <w:rPr>
          <w:shadow w:val="0"/>
          <w:color w:val="000000"/>
          <w:szCs w:val="28"/>
        </w:rPr>
        <w:t>, Куриченко А.А., Векшин И.М.</w:t>
      </w:r>
    </w:p>
    <w:p w:rsidR="004B3557" w:rsidRPr="00123EB5" w:rsidRDefault="00ED35E1" w:rsidP="004B3557">
      <w:pPr>
        <w:jc w:val="center"/>
        <w:rPr>
          <w:i/>
          <w:shadow w:val="0"/>
          <w:szCs w:val="28"/>
          <w:lang w:val="en-US"/>
        </w:rPr>
      </w:pPr>
      <w:r w:rsidRPr="00123EB5">
        <w:rPr>
          <w:bCs/>
          <w:i/>
          <w:shadow w:val="0"/>
          <w:color w:val="000000"/>
          <w:szCs w:val="28"/>
        </w:rPr>
        <w:t>ФГАОУ ВПО «Российский государственный профессионально-педагогический университет»,  Россия, 620012, Екатеринбург, ул. Машиностроителей, 11.</w:t>
      </w:r>
      <w:r w:rsidR="004B3557" w:rsidRPr="00123EB5">
        <w:rPr>
          <w:i/>
          <w:shadow w:val="0"/>
          <w:szCs w:val="28"/>
          <w:lang w:val="en-US"/>
        </w:rPr>
        <w:t xml:space="preserve"> </w:t>
      </w:r>
    </w:p>
    <w:p w:rsidR="000E2B61" w:rsidRPr="00123EB5" w:rsidRDefault="004B3557" w:rsidP="004B3557">
      <w:pPr>
        <w:jc w:val="center"/>
        <w:rPr>
          <w:i/>
          <w:shadow w:val="0"/>
          <w:szCs w:val="28"/>
          <w:lang w:val="en-US"/>
        </w:rPr>
      </w:pPr>
      <w:r w:rsidRPr="00123EB5">
        <w:rPr>
          <w:i/>
          <w:shadow w:val="0"/>
          <w:szCs w:val="28"/>
          <w:lang w:val="en-US"/>
        </w:rPr>
        <w:t>E-mail: ad_i@r66.ru</w:t>
      </w:r>
    </w:p>
    <w:p w:rsidR="00532FC3" w:rsidRDefault="00532FC3" w:rsidP="0005306D">
      <w:pPr>
        <w:ind w:firstLine="709"/>
        <w:jc w:val="both"/>
      </w:pPr>
    </w:p>
    <w:p w:rsidR="00EE4FF7" w:rsidRDefault="00E37C40" w:rsidP="0005306D">
      <w:pPr>
        <w:ind w:firstLine="709"/>
        <w:jc w:val="both"/>
        <w:rPr>
          <w:shadow w:val="0"/>
        </w:rPr>
      </w:pPr>
      <w:r w:rsidRPr="00E37C40">
        <w:rPr>
          <w:b/>
          <w:shadow w:val="0"/>
        </w:rPr>
        <w:t>Введение</w:t>
      </w:r>
      <w:r>
        <w:rPr>
          <w:shadow w:val="0"/>
        </w:rPr>
        <w:t xml:space="preserve">. </w:t>
      </w:r>
      <w:r w:rsidR="0005306D" w:rsidRPr="00123EB5">
        <w:rPr>
          <w:shadow w:val="0"/>
        </w:rPr>
        <w:t xml:space="preserve">Теплофизические свойства редкоземельных металлов (РЗМ) и их сплавов к настоящему времени изучены недостаточно. Особенно это касается высокотемпературной области, для которой имеются единичные </w:t>
      </w:r>
      <w:r>
        <w:rPr>
          <w:shadow w:val="0"/>
        </w:rPr>
        <w:t xml:space="preserve">экспериментальные </w:t>
      </w:r>
      <w:r w:rsidR="0005306D" w:rsidRPr="00123EB5">
        <w:rPr>
          <w:shadow w:val="0"/>
        </w:rPr>
        <w:t xml:space="preserve">данные о свойствах </w:t>
      </w:r>
      <w:r w:rsidR="00123EB5">
        <w:rPr>
          <w:shadow w:val="0"/>
        </w:rPr>
        <w:t xml:space="preserve">чистых металлов </w:t>
      </w:r>
      <w:r w:rsidR="0005306D" w:rsidRPr="00123EB5">
        <w:rPr>
          <w:shadow w:val="0"/>
        </w:rPr>
        <w:t>[1, 2]</w:t>
      </w:r>
      <w:r w:rsidR="00123EB5">
        <w:rPr>
          <w:shadow w:val="0"/>
        </w:rPr>
        <w:t>,</w:t>
      </w:r>
      <w:r w:rsidR="0005306D" w:rsidRPr="00123EB5">
        <w:rPr>
          <w:shadow w:val="0"/>
        </w:rPr>
        <w:t xml:space="preserve"> и остаются практически не изучен</w:t>
      </w:r>
      <w:r w:rsidR="0084229A">
        <w:rPr>
          <w:shadow w:val="0"/>
        </w:rPr>
        <w:t>н</w:t>
      </w:r>
      <w:r w:rsidR="0005306D" w:rsidRPr="00123EB5">
        <w:rPr>
          <w:shadow w:val="0"/>
        </w:rPr>
        <w:t>ы</w:t>
      </w:r>
      <w:r w:rsidR="0084229A">
        <w:rPr>
          <w:shadow w:val="0"/>
        </w:rPr>
        <w:t>ми</w:t>
      </w:r>
      <w:r w:rsidR="0005306D" w:rsidRPr="00123EB5">
        <w:rPr>
          <w:shadow w:val="0"/>
        </w:rPr>
        <w:t xml:space="preserve"> свойства сплавов.</w:t>
      </w:r>
      <w:r w:rsidR="00123EB5">
        <w:rPr>
          <w:shadow w:val="0"/>
        </w:rPr>
        <w:t xml:space="preserve"> Вместе с тем, сведения о теплофизических свойствах РЗМ и их сплавов необходимы как для развития физики этих объектов, так и для успешного применения </w:t>
      </w:r>
      <w:r w:rsidR="00D05D5C">
        <w:rPr>
          <w:shadow w:val="0"/>
        </w:rPr>
        <w:t>эти</w:t>
      </w:r>
      <w:r w:rsidR="00123EB5">
        <w:rPr>
          <w:shadow w:val="0"/>
        </w:rPr>
        <w:t>х</w:t>
      </w:r>
      <w:r w:rsidR="00D05D5C">
        <w:rPr>
          <w:shadow w:val="0"/>
        </w:rPr>
        <w:t xml:space="preserve"> материалов</w:t>
      </w:r>
      <w:r w:rsidR="00123EB5">
        <w:rPr>
          <w:shadow w:val="0"/>
        </w:rPr>
        <w:t xml:space="preserve"> в промышленности.</w:t>
      </w:r>
      <w:r>
        <w:rPr>
          <w:shadow w:val="0"/>
        </w:rPr>
        <w:t xml:space="preserve"> В настоящей работе проведены исследования </w:t>
      </w:r>
      <w:proofErr w:type="spellStart"/>
      <w:r>
        <w:rPr>
          <w:shadow w:val="0"/>
        </w:rPr>
        <w:t>температуропроводности</w:t>
      </w:r>
      <w:proofErr w:type="spellEnd"/>
      <w:r>
        <w:rPr>
          <w:shadow w:val="0"/>
        </w:rPr>
        <w:t xml:space="preserve"> сплавов системы иттрий-гольмий (</w:t>
      </w:r>
      <w:r w:rsidRPr="00E37C40">
        <w:rPr>
          <w:i/>
          <w:shadow w:val="0"/>
          <w:lang w:val="en-US"/>
        </w:rPr>
        <w:t>Y</w:t>
      </w:r>
      <w:r w:rsidRPr="00E37C40">
        <w:rPr>
          <w:i/>
          <w:shadow w:val="0"/>
        </w:rPr>
        <w:t>-</w:t>
      </w:r>
      <w:r w:rsidRPr="00E37C40">
        <w:rPr>
          <w:i/>
          <w:shadow w:val="0"/>
          <w:lang w:val="en-US"/>
        </w:rPr>
        <w:t>Ho</w:t>
      </w:r>
      <w:r>
        <w:rPr>
          <w:shadow w:val="0"/>
        </w:rPr>
        <w:t>), при температурах примерно от 400</w:t>
      </w:r>
      <w:proofErr w:type="gramStart"/>
      <w:r>
        <w:rPr>
          <w:shadow w:val="0"/>
        </w:rPr>
        <w:t xml:space="preserve"> К</w:t>
      </w:r>
      <w:proofErr w:type="gramEnd"/>
      <w:r>
        <w:rPr>
          <w:shadow w:val="0"/>
        </w:rPr>
        <w:t xml:space="preserve"> до температуры</w:t>
      </w:r>
      <w:r w:rsidR="004E4A6E">
        <w:rPr>
          <w:shadow w:val="0"/>
        </w:rPr>
        <w:t>, близкой к температуре</w:t>
      </w:r>
      <w:r>
        <w:rPr>
          <w:shadow w:val="0"/>
        </w:rPr>
        <w:t xml:space="preserve"> плавления. </w:t>
      </w:r>
    </w:p>
    <w:p w:rsidR="008543CB" w:rsidRDefault="00E37C40" w:rsidP="0005306D">
      <w:pPr>
        <w:ind w:firstLine="709"/>
        <w:jc w:val="both"/>
        <w:rPr>
          <w:shadow w:val="0"/>
        </w:rPr>
      </w:pPr>
      <w:r w:rsidRPr="004E4A6E">
        <w:rPr>
          <w:b/>
          <w:shadow w:val="0"/>
        </w:rPr>
        <w:t>Характеристика образцов</w:t>
      </w:r>
      <w:r>
        <w:rPr>
          <w:shadow w:val="0"/>
        </w:rPr>
        <w:t>.</w:t>
      </w:r>
      <w:r w:rsidR="004E4A6E">
        <w:rPr>
          <w:shadow w:val="0"/>
        </w:rPr>
        <w:t xml:space="preserve"> </w:t>
      </w:r>
      <w:r w:rsidR="005D170E">
        <w:rPr>
          <w:shadow w:val="0"/>
        </w:rPr>
        <w:t>И</w:t>
      </w:r>
      <w:r w:rsidR="004E4A6E">
        <w:rPr>
          <w:shadow w:val="0"/>
        </w:rPr>
        <w:t>ттрий</w:t>
      </w:r>
      <w:r w:rsidR="005D170E">
        <w:rPr>
          <w:shadow w:val="0"/>
        </w:rPr>
        <w:t xml:space="preserve"> и гольмий</w:t>
      </w:r>
      <w:r w:rsidR="004E4A6E">
        <w:rPr>
          <w:shadow w:val="0"/>
        </w:rPr>
        <w:t xml:space="preserve"> обладают полной взаимной растворимостью. </w:t>
      </w:r>
      <w:r w:rsidR="008618FE">
        <w:rPr>
          <w:shadow w:val="0"/>
        </w:rPr>
        <w:t xml:space="preserve">Предполагается, что фазовая диаграмма этих сплавов проста, и представляет собой набор прямых линий, соединяющих соответственные характерные температуры чистых компонентов </w:t>
      </w:r>
      <w:r w:rsidR="008618FE" w:rsidRPr="008618FE">
        <w:rPr>
          <w:shadow w:val="0"/>
        </w:rPr>
        <w:t>[3]</w:t>
      </w:r>
      <w:r w:rsidR="008618FE">
        <w:rPr>
          <w:shadow w:val="0"/>
        </w:rPr>
        <w:t xml:space="preserve">. </w:t>
      </w:r>
      <w:proofErr w:type="gramStart"/>
      <w:r w:rsidR="00F25E20">
        <w:rPr>
          <w:shadow w:val="0"/>
        </w:rPr>
        <w:t>Вместе с тем</w:t>
      </w:r>
      <w:r w:rsidR="0050197A">
        <w:rPr>
          <w:shadow w:val="0"/>
        </w:rPr>
        <w:t xml:space="preserve"> следует отметить, что относительно существования структурного фазового перехода в иттрии от гексагональной плотноупакованной решетки к объемно-центрированной кубической (ГПУ-ОЦК) в литературе имеются противоречивые данные  (см. например, </w:t>
      </w:r>
      <w:r w:rsidR="0050197A" w:rsidRPr="0050197A">
        <w:rPr>
          <w:shadow w:val="0"/>
        </w:rPr>
        <w:t>[</w:t>
      </w:r>
      <w:r w:rsidR="00F25E20">
        <w:rPr>
          <w:shadow w:val="0"/>
        </w:rPr>
        <w:t xml:space="preserve">3, </w:t>
      </w:r>
      <w:r w:rsidR="0050197A" w:rsidRPr="0050197A">
        <w:rPr>
          <w:shadow w:val="0"/>
        </w:rPr>
        <w:t>4])</w:t>
      </w:r>
      <w:r w:rsidR="0050197A">
        <w:rPr>
          <w:shadow w:val="0"/>
        </w:rPr>
        <w:t>.</w:t>
      </w:r>
      <w:proofErr w:type="gramEnd"/>
      <w:r w:rsidR="0050197A">
        <w:rPr>
          <w:shadow w:val="0"/>
        </w:rPr>
        <w:t xml:space="preserve"> </w:t>
      </w:r>
      <w:r w:rsidR="008543CB">
        <w:rPr>
          <w:shadow w:val="0"/>
        </w:rPr>
        <w:t>Поэтому неясно, каково конкретное поведение свой</w:t>
      </w:r>
      <w:proofErr w:type="gramStart"/>
      <w:r w:rsidR="008543CB">
        <w:rPr>
          <w:shadow w:val="0"/>
        </w:rPr>
        <w:t>ств спл</w:t>
      </w:r>
      <w:proofErr w:type="gramEnd"/>
      <w:r w:rsidR="008543CB">
        <w:rPr>
          <w:shadow w:val="0"/>
        </w:rPr>
        <w:t xml:space="preserve">авов вблизи возможной точки перехода ГПУ-ОЦК в области больших концентраций иттрия. </w:t>
      </w:r>
      <w:r w:rsidR="005C3EF2">
        <w:rPr>
          <w:shadow w:val="0"/>
        </w:rPr>
        <w:t>Возможно, что на процесс фазового перехода ГПУ-ОЦК в иттрии оказывают влияние примеси, количество которых в современных РЗМ еще велико.</w:t>
      </w:r>
    </w:p>
    <w:p w:rsidR="00E37C40" w:rsidRDefault="004E4A6E" w:rsidP="0005306D">
      <w:pPr>
        <w:ind w:firstLine="709"/>
        <w:jc w:val="both"/>
        <w:rPr>
          <w:shadow w:val="0"/>
        </w:rPr>
      </w:pPr>
      <w:r>
        <w:rPr>
          <w:shadow w:val="0"/>
        </w:rPr>
        <w:t xml:space="preserve">Сплавы были выплавлены в электродуговой печи из исходных компонентов, полученных методом вакуумной дистилляции. </w:t>
      </w:r>
      <w:r w:rsidR="00E61C4B">
        <w:rPr>
          <w:shadow w:val="0"/>
        </w:rPr>
        <w:t xml:space="preserve">Количество примесей в исходных компонентах </w:t>
      </w:r>
      <w:r w:rsidR="004A4220">
        <w:rPr>
          <w:shadow w:val="0"/>
        </w:rPr>
        <w:t>менее</w:t>
      </w:r>
      <w:r w:rsidR="00E61C4B">
        <w:rPr>
          <w:shadow w:val="0"/>
        </w:rPr>
        <w:t xml:space="preserve"> 0,</w:t>
      </w:r>
      <w:r w:rsidR="00E825A1">
        <w:rPr>
          <w:shadow w:val="0"/>
        </w:rPr>
        <w:t>05</w:t>
      </w:r>
      <w:r w:rsidR="00E61C4B">
        <w:rPr>
          <w:shadow w:val="0"/>
        </w:rPr>
        <w:t xml:space="preserve"> % по массе.  </w:t>
      </w:r>
      <w:r>
        <w:rPr>
          <w:shadow w:val="0"/>
        </w:rPr>
        <w:t>Отклонение массы сплава от суммы масс компонентов не превышало  0,1 %.</w:t>
      </w:r>
      <w:r w:rsidR="008543CB">
        <w:rPr>
          <w:shadow w:val="0"/>
        </w:rPr>
        <w:t xml:space="preserve"> Образцы для проведения исследований </w:t>
      </w:r>
      <w:proofErr w:type="spellStart"/>
      <w:r w:rsidR="008543CB">
        <w:rPr>
          <w:shadow w:val="0"/>
        </w:rPr>
        <w:t>температуропроводности</w:t>
      </w:r>
      <w:proofErr w:type="spellEnd"/>
      <w:r w:rsidR="008543CB">
        <w:rPr>
          <w:shadow w:val="0"/>
        </w:rPr>
        <w:t xml:space="preserve"> вырезались электроэрозионным методом в форме плоских пластин с поперечным размером 12·12 мм</w:t>
      </w:r>
      <w:proofErr w:type="gramStart"/>
      <w:r w:rsidR="008543CB">
        <w:rPr>
          <w:shadow w:val="0"/>
          <w:vertAlign w:val="superscript"/>
        </w:rPr>
        <w:t>2</w:t>
      </w:r>
      <w:proofErr w:type="gramEnd"/>
      <w:r w:rsidR="008543CB">
        <w:rPr>
          <w:shadow w:val="0"/>
        </w:rPr>
        <w:t xml:space="preserve">. </w:t>
      </w:r>
      <w:proofErr w:type="spellStart"/>
      <w:r w:rsidR="008543CB">
        <w:rPr>
          <w:shadow w:val="0"/>
        </w:rPr>
        <w:t>Плоскопараллельность</w:t>
      </w:r>
      <w:proofErr w:type="spellEnd"/>
      <w:r w:rsidR="008543CB">
        <w:rPr>
          <w:shadow w:val="0"/>
        </w:rPr>
        <w:t xml:space="preserve"> пластин затем обеспечивалась путем ручного шлифования.</w:t>
      </w:r>
      <w:r w:rsidR="00550CC9">
        <w:rPr>
          <w:shadow w:val="0"/>
        </w:rPr>
        <w:t xml:space="preserve"> Неоднородность толщины обеспечивалась на уровне ± 2 мкм. Толщины образцов выбирались из интервала 0,8 – 2,6 мм</w:t>
      </w:r>
      <w:r w:rsidR="00165078">
        <w:rPr>
          <w:shadow w:val="0"/>
        </w:rPr>
        <w:t xml:space="preserve"> (</w:t>
      </w:r>
      <w:r w:rsidR="00B9240C">
        <w:rPr>
          <w:shadow w:val="0"/>
        </w:rPr>
        <w:t>измер</w:t>
      </w:r>
      <w:r w:rsidR="00165078">
        <w:rPr>
          <w:shadow w:val="0"/>
        </w:rPr>
        <w:t>ения толщины выполнялись на</w:t>
      </w:r>
      <w:r w:rsidR="00B9240C">
        <w:rPr>
          <w:shadow w:val="0"/>
        </w:rPr>
        <w:t xml:space="preserve"> прибор</w:t>
      </w:r>
      <w:r w:rsidR="00165078">
        <w:rPr>
          <w:shadow w:val="0"/>
        </w:rPr>
        <w:t>е</w:t>
      </w:r>
      <w:r w:rsidR="00B9240C">
        <w:rPr>
          <w:shadow w:val="0"/>
        </w:rPr>
        <w:t xml:space="preserve"> ИЗВ-1</w:t>
      </w:r>
      <w:r w:rsidR="00165078">
        <w:rPr>
          <w:shadow w:val="0"/>
        </w:rPr>
        <w:t>)</w:t>
      </w:r>
      <w:r w:rsidR="00B9240C">
        <w:rPr>
          <w:shadow w:val="0"/>
        </w:rPr>
        <w:t>.</w:t>
      </w:r>
    </w:p>
    <w:p w:rsidR="00B9240C" w:rsidRDefault="00550CC9" w:rsidP="0005306D">
      <w:pPr>
        <w:ind w:firstLine="709"/>
        <w:jc w:val="both"/>
        <w:rPr>
          <w:shadow w:val="0"/>
        </w:rPr>
      </w:pPr>
      <w:r w:rsidRPr="00550CC9">
        <w:rPr>
          <w:b/>
          <w:shadow w:val="0"/>
        </w:rPr>
        <w:t>Метод измерения</w:t>
      </w:r>
      <w:r w:rsidR="00B9240C">
        <w:rPr>
          <w:b/>
          <w:shadow w:val="0"/>
        </w:rPr>
        <w:t xml:space="preserve"> </w:t>
      </w:r>
      <w:proofErr w:type="spellStart"/>
      <w:r w:rsidR="00B9240C">
        <w:rPr>
          <w:b/>
          <w:shadow w:val="0"/>
        </w:rPr>
        <w:t>температуропроводности</w:t>
      </w:r>
      <w:proofErr w:type="spellEnd"/>
      <w:r>
        <w:rPr>
          <w:shadow w:val="0"/>
        </w:rPr>
        <w:t xml:space="preserve">. </w:t>
      </w:r>
      <w:proofErr w:type="spellStart"/>
      <w:r>
        <w:rPr>
          <w:shadow w:val="0"/>
        </w:rPr>
        <w:t>Температуропроводность</w:t>
      </w:r>
      <w:proofErr w:type="spellEnd"/>
      <w:r>
        <w:rPr>
          <w:shadow w:val="0"/>
        </w:rPr>
        <w:t xml:space="preserve"> сплавов исследовалась методом температурных волн </w:t>
      </w:r>
      <w:r w:rsidRPr="00550CC9">
        <w:rPr>
          <w:shadow w:val="0"/>
        </w:rPr>
        <w:t>[5]</w:t>
      </w:r>
      <w:r>
        <w:rPr>
          <w:shadow w:val="0"/>
        </w:rPr>
        <w:t>.</w:t>
      </w:r>
      <w:r w:rsidR="00A132A7">
        <w:rPr>
          <w:shadow w:val="0"/>
        </w:rPr>
        <w:t xml:space="preserve"> </w:t>
      </w:r>
      <w:r w:rsidR="00D334DC">
        <w:rPr>
          <w:shadow w:val="0"/>
        </w:rPr>
        <w:t>Температурные волны возбуждались  модулированн</w:t>
      </w:r>
      <w:r w:rsidR="006B6A16">
        <w:rPr>
          <w:shadow w:val="0"/>
        </w:rPr>
        <w:t>ым</w:t>
      </w:r>
      <w:r w:rsidR="00D334DC">
        <w:rPr>
          <w:shadow w:val="0"/>
        </w:rPr>
        <w:t xml:space="preserve"> по амплитуде излучени</w:t>
      </w:r>
      <w:r w:rsidR="006B6A16">
        <w:rPr>
          <w:shadow w:val="0"/>
        </w:rPr>
        <w:t>ем</w:t>
      </w:r>
      <w:r w:rsidR="00D334DC">
        <w:rPr>
          <w:shadow w:val="0"/>
        </w:rPr>
        <w:t xml:space="preserve"> лазера ЛГН-701 (ЛГ-43). Длина волны излучения 10,6 мкм</w:t>
      </w:r>
      <w:r w:rsidR="00F25E20">
        <w:rPr>
          <w:shadow w:val="0"/>
        </w:rPr>
        <w:t>, мощность  60 Вт</w:t>
      </w:r>
      <w:r w:rsidR="00D334DC">
        <w:rPr>
          <w:shadow w:val="0"/>
        </w:rPr>
        <w:t>.</w:t>
      </w:r>
      <w:r w:rsidR="006B6A16">
        <w:rPr>
          <w:shadow w:val="0"/>
        </w:rPr>
        <w:t xml:space="preserve"> В качестве </w:t>
      </w:r>
      <w:r w:rsidR="006B6A16">
        <w:rPr>
          <w:shadow w:val="0"/>
        </w:rPr>
        <w:lastRenderedPageBreak/>
        <w:t xml:space="preserve">модулятора использовалось оригинальное электронно-механическое устройство </w:t>
      </w:r>
      <w:r w:rsidR="006B6A16" w:rsidRPr="006B6A16">
        <w:rPr>
          <w:shadow w:val="0"/>
        </w:rPr>
        <w:t>[6]</w:t>
      </w:r>
      <w:r w:rsidR="006B6A16">
        <w:rPr>
          <w:shadow w:val="0"/>
        </w:rPr>
        <w:t xml:space="preserve">, позволяющее изменять частоту модуляции в широких пределах и обеспечивать глубину модуляции 100 %. </w:t>
      </w:r>
    </w:p>
    <w:p w:rsidR="00DD06F2" w:rsidRDefault="00DD06F2" w:rsidP="0005306D">
      <w:pPr>
        <w:ind w:firstLine="709"/>
        <w:jc w:val="both"/>
        <w:rPr>
          <w:shadow w:val="0"/>
        </w:rPr>
      </w:pPr>
      <w:r>
        <w:rPr>
          <w:shadow w:val="0"/>
        </w:rPr>
        <w:t xml:space="preserve">Образец </w:t>
      </w:r>
      <w:r w:rsidR="00727CE9">
        <w:rPr>
          <w:shadow w:val="0"/>
        </w:rPr>
        <w:t xml:space="preserve">размещался </w:t>
      </w:r>
      <w:r>
        <w:rPr>
          <w:shadow w:val="0"/>
        </w:rPr>
        <w:t xml:space="preserve">в вакуумной камере, в которой после предварительного </w:t>
      </w:r>
      <w:proofErr w:type="spellStart"/>
      <w:r>
        <w:rPr>
          <w:shadow w:val="0"/>
        </w:rPr>
        <w:t>вакуум</w:t>
      </w:r>
      <w:r w:rsidR="00484430">
        <w:rPr>
          <w:shadow w:val="0"/>
        </w:rPr>
        <w:t>м</w:t>
      </w:r>
      <w:r>
        <w:rPr>
          <w:shadow w:val="0"/>
        </w:rPr>
        <w:t>ирования</w:t>
      </w:r>
      <w:proofErr w:type="spellEnd"/>
      <w:r>
        <w:rPr>
          <w:shadow w:val="0"/>
        </w:rPr>
        <w:t xml:space="preserve"> создавалась инертная атмосфера с использованием гелия, находящегося под избыточным давлением. </w:t>
      </w:r>
      <w:r w:rsidR="00474E91">
        <w:rPr>
          <w:shadow w:val="0"/>
        </w:rPr>
        <w:t>Образец располагался в ячейке, изготовленной из изоляционного материала. Для предотвращения взаимодействия образца и ячейки использовались прокладки из тонкого листового молибдена.</w:t>
      </w:r>
      <w:r>
        <w:rPr>
          <w:shadow w:val="0"/>
        </w:rPr>
        <w:t xml:space="preserve"> </w:t>
      </w:r>
      <w:r w:rsidR="00D23E40">
        <w:rPr>
          <w:shadow w:val="0"/>
        </w:rPr>
        <w:t>Наличие газовой среды предотвращало сублимацию образца при высоких температурах.</w:t>
      </w:r>
      <w:r w:rsidR="00946FDB">
        <w:rPr>
          <w:shadow w:val="0"/>
        </w:rPr>
        <w:t xml:space="preserve"> Каждый образец перед измерениями предварительно отжигался в измерительной камере в течение двух часов при температуре 1500 К.</w:t>
      </w:r>
    </w:p>
    <w:p w:rsidR="00D23E40" w:rsidRDefault="006B6A16" w:rsidP="0005306D">
      <w:pPr>
        <w:ind w:firstLine="709"/>
        <w:jc w:val="both"/>
        <w:rPr>
          <w:shadow w:val="0"/>
        </w:rPr>
      </w:pPr>
      <w:r>
        <w:rPr>
          <w:shadow w:val="0"/>
        </w:rPr>
        <w:t>Температурная волна распространялась от первой плоской поверхности образца ко второй. Колебания температуры второй поверхности образца</w:t>
      </w:r>
      <w:r w:rsidR="00B9240C">
        <w:rPr>
          <w:shadow w:val="0"/>
        </w:rPr>
        <w:t xml:space="preserve"> отставали по фазе от колебаний теплового потока</w:t>
      </w:r>
      <w:r w:rsidR="00E61C4B">
        <w:rPr>
          <w:shadow w:val="0"/>
        </w:rPr>
        <w:t xml:space="preserve">, воздействующего на первую поверхность. </w:t>
      </w:r>
      <w:r w:rsidR="00B9240C">
        <w:rPr>
          <w:shadow w:val="0"/>
        </w:rPr>
        <w:t xml:space="preserve">По величине фазового запаздывания рассчитывалась </w:t>
      </w:r>
      <w:proofErr w:type="spellStart"/>
      <w:r w:rsidR="00B9240C">
        <w:rPr>
          <w:shadow w:val="0"/>
        </w:rPr>
        <w:t>температуропроводность</w:t>
      </w:r>
      <w:proofErr w:type="spellEnd"/>
      <w:r w:rsidR="00B9240C">
        <w:rPr>
          <w:shadow w:val="0"/>
        </w:rPr>
        <w:t xml:space="preserve"> </w:t>
      </w:r>
      <w:r w:rsidR="00B9240C" w:rsidRPr="00B9240C">
        <w:rPr>
          <w:shadow w:val="0"/>
        </w:rPr>
        <w:t>[5]</w:t>
      </w:r>
      <w:r w:rsidR="00B9240C">
        <w:rPr>
          <w:shadow w:val="0"/>
        </w:rPr>
        <w:t xml:space="preserve">. Для </w:t>
      </w:r>
      <w:r w:rsidR="00E61C4B">
        <w:rPr>
          <w:shadow w:val="0"/>
        </w:rPr>
        <w:t xml:space="preserve">оценки </w:t>
      </w:r>
      <w:r w:rsidR="00B9240C">
        <w:rPr>
          <w:shadow w:val="0"/>
        </w:rPr>
        <w:t>температуры второй поверхности образца применялись датчики: термопара диаметром 0,05 мкм, приваренная</w:t>
      </w:r>
      <w:r w:rsidR="00E61C4B">
        <w:rPr>
          <w:shadow w:val="0"/>
        </w:rPr>
        <w:t xml:space="preserve"> без спая </w:t>
      </w:r>
      <w:r w:rsidR="00E61C4B" w:rsidRPr="00E61C4B">
        <w:rPr>
          <w:shadow w:val="0"/>
        </w:rPr>
        <w:t xml:space="preserve">[7] </w:t>
      </w:r>
      <w:r w:rsidR="00B9240C">
        <w:rPr>
          <w:shadow w:val="0"/>
        </w:rPr>
        <w:t>к центральной области второй поверхности образца и фотодатчик (фотодиод), анализирующий температуру этой</w:t>
      </w:r>
      <w:r w:rsidR="00D23E40">
        <w:rPr>
          <w:shadow w:val="0"/>
        </w:rPr>
        <w:t xml:space="preserve"> же</w:t>
      </w:r>
      <w:r w:rsidR="00B9240C">
        <w:rPr>
          <w:shadow w:val="0"/>
        </w:rPr>
        <w:t xml:space="preserve"> области. </w:t>
      </w:r>
      <w:r w:rsidR="00D23E40">
        <w:rPr>
          <w:shadow w:val="0"/>
        </w:rPr>
        <w:t xml:space="preserve">Термопара использовалась для оценки параметров колебаний температуры на низких частотах температурных волн [8], а также и для оценки средней температуры образца. Средняя температура образца изменялась при помощи печи </w:t>
      </w:r>
      <w:proofErr w:type="spellStart"/>
      <w:r w:rsidR="00D23E40">
        <w:rPr>
          <w:shadow w:val="0"/>
        </w:rPr>
        <w:t>электросопротивления</w:t>
      </w:r>
      <w:proofErr w:type="spellEnd"/>
      <w:r w:rsidR="00D23E40">
        <w:rPr>
          <w:shadow w:val="0"/>
        </w:rPr>
        <w:t xml:space="preserve">. </w:t>
      </w:r>
    </w:p>
    <w:p w:rsidR="00550CC9" w:rsidRDefault="00B9240C" w:rsidP="0005306D">
      <w:pPr>
        <w:ind w:firstLine="709"/>
        <w:jc w:val="both"/>
        <w:rPr>
          <w:shadow w:val="0"/>
        </w:rPr>
      </w:pPr>
      <w:r>
        <w:rPr>
          <w:shadow w:val="0"/>
        </w:rPr>
        <w:t xml:space="preserve">Сигналы от датчиков через нормирующие линейные цепи </w:t>
      </w:r>
      <w:r w:rsidRPr="00B9240C">
        <w:rPr>
          <w:shadow w:val="0"/>
        </w:rPr>
        <w:t>[</w:t>
      </w:r>
      <w:r w:rsidR="00D23E40">
        <w:rPr>
          <w:shadow w:val="0"/>
        </w:rPr>
        <w:t>9</w:t>
      </w:r>
      <w:r w:rsidRPr="00B9240C">
        <w:rPr>
          <w:shadow w:val="0"/>
        </w:rPr>
        <w:t>]</w:t>
      </w:r>
      <w:r>
        <w:rPr>
          <w:shadow w:val="0"/>
        </w:rPr>
        <w:t xml:space="preserve"> подавались на аналого-цифровой преобразователь, а затем поступали в компьютер.</w:t>
      </w:r>
      <w:r w:rsidR="00D3543D">
        <w:rPr>
          <w:shadow w:val="0"/>
        </w:rPr>
        <w:t xml:space="preserve"> В компьютере производилась оценка фазы полезного сигнала и расчет </w:t>
      </w:r>
      <w:proofErr w:type="spellStart"/>
      <w:r w:rsidR="00D3543D">
        <w:rPr>
          <w:shadow w:val="0"/>
        </w:rPr>
        <w:t>температуропроводности</w:t>
      </w:r>
      <w:proofErr w:type="spellEnd"/>
      <w:r w:rsidR="00D3543D">
        <w:rPr>
          <w:shadow w:val="0"/>
        </w:rPr>
        <w:t>.</w:t>
      </w:r>
      <w:r w:rsidR="00727CE9">
        <w:rPr>
          <w:shadow w:val="0"/>
        </w:rPr>
        <w:t xml:space="preserve"> Погрешность измерения </w:t>
      </w:r>
      <w:proofErr w:type="spellStart"/>
      <w:r w:rsidR="00727CE9">
        <w:rPr>
          <w:shadow w:val="0"/>
        </w:rPr>
        <w:t>температуропроводности</w:t>
      </w:r>
      <w:proofErr w:type="spellEnd"/>
      <w:r w:rsidR="00727CE9">
        <w:rPr>
          <w:shadow w:val="0"/>
        </w:rPr>
        <w:t>, оцененная теоретически и определенная практически с использованием образцовых материалов (нержавеющая сталь 12Х18Н10Т и молибден марки МЧВП)</w:t>
      </w:r>
      <w:r w:rsidR="00D23E40">
        <w:rPr>
          <w:shadow w:val="0"/>
        </w:rPr>
        <w:t>,</w:t>
      </w:r>
      <w:r w:rsidR="00727CE9">
        <w:rPr>
          <w:shadow w:val="0"/>
        </w:rPr>
        <w:t xml:space="preserve"> оказалась равна 2 % (среднее квадратичное значение).</w:t>
      </w:r>
    </w:p>
    <w:p w:rsidR="00F25E20" w:rsidRDefault="00F25E20" w:rsidP="0005306D">
      <w:pPr>
        <w:ind w:firstLine="709"/>
        <w:jc w:val="both"/>
        <w:rPr>
          <w:shadow w:val="0"/>
        </w:rPr>
      </w:pPr>
      <w:r w:rsidRPr="005D04AD">
        <w:rPr>
          <w:b/>
          <w:shadow w:val="0"/>
        </w:rPr>
        <w:t>Результаты исследований</w:t>
      </w:r>
      <w:r>
        <w:rPr>
          <w:shadow w:val="0"/>
        </w:rPr>
        <w:t xml:space="preserve">. </w:t>
      </w:r>
      <w:proofErr w:type="spellStart"/>
      <w:r w:rsidR="005D04AD">
        <w:rPr>
          <w:shadow w:val="0"/>
        </w:rPr>
        <w:t>Политермы</w:t>
      </w:r>
      <w:proofErr w:type="spellEnd"/>
      <w:r w:rsidR="005D04AD">
        <w:rPr>
          <w:shadow w:val="0"/>
        </w:rPr>
        <w:t xml:space="preserve"> сплавов системы </w:t>
      </w:r>
      <w:r w:rsidR="005D04AD" w:rsidRPr="00946FDB">
        <w:rPr>
          <w:i/>
          <w:shadow w:val="0"/>
          <w:lang w:val="en-US"/>
        </w:rPr>
        <w:t>Y</w:t>
      </w:r>
      <w:r w:rsidR="005D04AD" w:rsidRPr="00946FDB">
        <w:rPr>
          <w:i/>
          <w:shadow w:val="0"/>
        </w:rPr>
        <w:t>-</w:t>
      </w:r>
      <w:r w:rsidR="005D04AD" w:rsidRPr="00946FDB">
        <w:rPr>
          <w:i/>
          <w:shadow w:val="0"/>
          <w:lang w:val="en-US"/>
        </w:rPr>
        <w:t>Ho</w:t>
      </w:r>
      <w:r w:rsidR="005D04AD">
        <w:rPr>
          <w:shadow w:val="0"/>
        </w:rPr>
        <w:t xml:space="preserve"> при высоких температурах </w:t>
      </w:r>
      <w:proofErr w:type="gramStart"/>
      <w:r w:rsidR="005D04AD">
        <w:rPr>
          <w:shadow w:val="0"/>
        </w:rPr>
        <w:t>достаточно однотипны</w:t>
      </w:r>
      <w:proofErr w:type="gramEnd"/>
      <w:r w:rsidR="005D04AD">
        <w:rPr>
          <w:shadow w:val="0"/>
        </w:rPr>
        <w:t>.</w:t>
      </w:r>
      <w:r w:rsidR="00946FDB">
        <w:rPr>
          <w:shadow w:val="0"/>
        </w:rPr>
        <w:t xml:space="preserve"> В целом они имеют неубывающий характер. Иными словами, значение </w:t>
      </w:r>
      <w:proofErr w:type="spellStart"/>
      <w:r w:rsidR="00946FDB">
        <w:rPr>
          <w:shadow w:val="0"/>
        </w:rPr>
        <w:t>температуропровдности</w:t>
      </w:r>
      <w:proofErr w:type="spellEnd"/>
      <w:r w:rsidR="00946FDB">
        <w:rPr>
          <w:shadow w:val="0"/>
        </w:rPr>
        <w:t xml:space="preserve"> сплавов либо остается практически неизменным, либо слабо возрастает в рассматриваемом диапазоне температур. </w:t>
      </w:r>
      <w:r w:rsidR="005C3EF2">
        <w:rPr>
          <w:shadow w:val="0"/>
        </w:rPr>
        <w:t>Следует отметить, что разброс данных, полученных в настоящих опытах для каждого образца превышает погрешность измерения примерно вдвое, что свидетельствует о нестабильности свой</w:t>
      </w:r>
      <w:proofErr w:type="gramStart"/>
      <w:r w:rsidR="005C3EF2">
        <w:rPr>
          <w:shadow w:val="0"/>
        </w:rPr>
        <w:t>ств спл</w:t>
      </w:r>
      <w:proofErr w:type="gramEnd"/>
      <w:r w:rsidR="005C3EF2">
        <w:rPr>
          <w:shadow w:val="0"/>
        </w:rPr>
        <w:t xml:space="preserve">авов при нагреве. </w:t>
      </w:r>
      <w:r w:rsidR="007B050B">
        <w:rPr>
          <w:shadow w:val="0"/>
        </w:rPr>
        <w:t xml:space="preserve">В области высоких температур, соответствующих возможным температурам структурных фазовых переходов ГПУ-ОЦК наблюдаются слабые аномалии, точный вид которых </w:t>
      </w:r>
      <w:proofErr w:type="gramStart"/>
      <w:r w:rsidR="007B050B">
        <w:rPr>
          <w:shadow w:val="0"/>
        </w:rPr>
        <w:t>определить</w:t>
      </w:r>
      <w:proofErr w:type="gramEnd"/>
      <w:r w:rsidR="007B050B">
        <w:rPr>
          <w:shadow w:val="0"/>
        </w:rPr>
        <w:t xml:space="preserve"> точно не удалось. Эти слабые аномалии наблюдаются на </w:t>
      </w:r>
      <w:proofErr w:type="spellStart"/>
      <w:r w:rsidR="007B050B">
        <w:rPr>
          <w:shadow w:val="0"/>
        </w:rPr>
        <w:t>политермах</w:t>
      </w:r>
      <w:proofErr w:type="spellEnd"/>
      <w:r w:rsidR="007B050B">
        <w:rPr>
          <w:shadow w:val="0"/>
        </w:rPr>
        <w:t xml:space="preserve"> всех сплавов. Возможно, препятствием для детального изучения свойств вблизи ГПУ-ОЦК </w:t>
      </w:r>
      <w:r w:rsidR="007B050B">
        <w:rPr>
          <w:shadow w:val="0"/>
        </w:rPr>
        <w:lastRenderedPageBreak/>
        <w:t>превращени</w:t>
      </w:r>
      <w:r w:rsidR="00A96833">
        <w:rPr>
          <w:shadow w:val="0"/>
        </w:rPr>
        <w:t>й</w:t>
      </w:r>
      <w:r w:rsidR="007B050B">
        <w:rPr>
          <w:shadow w:val="0"/>
        </w:rPr>
        <w:t xml:space="preserve"> явля</w:t>
      </w:r>
      <w:r w:rsidR="00142AB2">
        <w:rPr>
          <w:shadow w:val="0"/>
        </w:rPr>
        <w:t>лась</w:t>
      </w:r>
      <w:r w:rsidR="007B050B">
        <w:rPr>
          <w:shadow w:val="0"/>
        </w:rPr>
        <w:t xml:space="preserve"> узость температурн</w:t>
      </w:r>
      <w:r w:rsidR="00744BE0">
        <w:rPr>
          <w:shadow w:val="0"/>
        </w:rPr>
        <w:t>ых</w:t>
      </w:r>
      <w:r w:rsidR="007B050B">
        <w:rPr>
          <w:shadow w:val="0"/>
        </w:rPr>
        <w:t xml:space="preserve"> интервал</w:t>
      </w:r>
      <w:r w:rsidR="00744BE0">
        <w:rPr>
          <w:shadow w:val="0"/>
        </w:rPr>
        <w:t>ов</w:t>
      </w:r>
      <w:r w:rsidR="007B050B">
        <w:rPr>
          <w:shadow w:val="0"/>
        </w:rPr>
        <w:t xml:space="preserve"> существования ОЦК фаз</w:t>
      </w:r>
      <w:r w:rsidR="00744BE0">
        <w:rPr>
          <w:shadow w:val="0"/>
        </w:rPr>
        <w:t xml:space="preserve"> (примерно, 40 К)</w:t>
      </w:r>
      <w:r w:rsidR="007B050B">
        <w:rPr>
          <w:shadow w:val="0"/>
        </w:rPr>
        <w:t xml:space="preserve">, вслед за которыми происходит плавление. </w:t>
      </w:r>
    </w:p>
    <w:p w:rsidR="00A96833" w:rsidRDefault="00A96833" w:rsidP="0005306D">
      <w:pPr>
        <w:ind w:firstLine="709"/>
        <w:jc w:val="both"/>
        <w:rPr>
          <w:shadow w:val="0"/>
        </w:rPr>
      </w:pPr>
      <w:r w:rsidRPr="00A96833">
        <w:rPr>
          <w:b/>
          <w:shadow w:val="0"/>
        </w:rPr>
        <w:t>Обсуждение полученных результатов</w:t>
      </w:r>
      <w:r>
        <w:rPr>
          <w:shadow w:val="0"/>
        </w:rPr>
        <w:t xml:space="preserve">. На рис. 1 представлена концентрационная диаграмма </w:t>
      </w:r>
      <w:proofErr w:type="spellStart"/>
      <w:r>
        <w:rPr>
          <w:shadow w:val="0"/>
        </w:rPr>
        <w:t>температуропроводности</w:t>
      </w:r>
      <w:proofErr w:type="spellEnd"/>
      <w:r>
        <w:rPr>
          <w:shadow w:val="0"/>
        </w:rPr>
        <w:t xml:space="preserve"> </w:t>
      </w:r>
      <w:r w:rsidR="0065068B" w:rsidRPr="0065068B">
        <w:rPr>
          <w:i/>
          <w:shadow w:val="0"/>
          <w:lang w:val="en-US"/>
        </w:rPr>
        <w:t>a</w:t>
      </w:r>
      <w:r w:rsidR="0065068B" w:rsidRPr="0065068B">
        <w:rPr>
          <w:shadow w:val="0"/>
        </w:rPr>
        <w:t xml:space="preserve"> </w:t>
      </w:r>
      <w:r>
        <w:rPr>
          <w:shadow w:val="0"/>
        </w:rPr>
        <w:t xml:space="preserve">сплавов системы </w:t>
      </w:r>
      <w:r w:rsidRPr="00A96833">
        <w:rPr>
          <w:i/>
          <w:shadow w:val="0"/>
          <w:lang w:val="en-US"/>
        </w:rPr>
        <w:t>Y</w:t>
      </w:r>
      <w:r w:rsidRPr="00A96833">
        <w:rPr>
          <w:i/>
          <w:shadow w:val="0"/>
        </w:rPr>
        <w:t>-</w:t>
      </w:r>
      <w:r w:rsidRPr="00A96833">
        <w:rPr>
          <w:i/>
          <w:shadow w:val="0"/>
          <w:lang w:val="en-US"/>
        </w:rPr>
        <w:t>Ho</w:t>
      </w:r>
      <w:r>
        <w:rPr>
          <w:shadow w:val="0"/>
        </w:rPr>
        <w:t>. Она соответствует низкотемпературному участку, и остается практически неизменной до самых высоких температур.</w:t>
      </w:r>
    </w:p>
    <w:p w:rsidR="00A96833" w:rsidRDefault="00A96833" w:rsidP="0005306D">
      <w:pPr>
        <w:ind w:firstLine="709"/>
        <w:jc w:val="both"/>
        <w:rPr>
          <w:shadow w:val="0"/>
        </w:rPr>
      </w:pPr>
    </w:p>
    <w:p w:rsidR="00A96833" w:rsidRPr="00A96833" w:rsidRDefault="00A96833" w:rsidP="00A96833">
      <w:pPr>
        <w:ind w:firstLine="709"/>
        <w:jc w:val="center"/>
      </w:pPr>
      <w:r w:rsidRPr="00A96833">
        <w:rPr>
          <w:noProof/>
        </w:rPr>
        <w:drawing>
          <wp:inline distT="0" distB="0" distL="0" distR="0">
            <wp:extent cx="4746929" cy="2576222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E4FF7" w:rsidRPr="00262418" w:rsidRDefault="00A96833" w:rsidP="00A44A4E">
      <w:pPr>
        <w:ind w:firstLine="709"/>
        <w:jc w:val="center"/>
        <w:rPr>
          <w:shadow w:val="0"/>
        </w:rPr>
      </w:pPr>
      <w:r w:rsidRPr="00262418">
        <w:rPr>
          <w:shadow w:val="0"/>
        </w:rPr>
        <w:t xml:space="preserve">Рис. 1. </w:t>
      </w:r>
      <w:r w:rsidR="00A44A4E" w:rsidRPr="00262418">
        <w:rPr>
          <w:shadow w:val="0"/>
        </w:rPr>
        <w:t>Концентрационная зависимость</w:t>
      </w:r>
      <w:r w:rsidR="00E9234E">
        <w:rPr>
          <w:shadow w:val="0"/>
        </w:rPr>
        <w:t xml:space="preserve"> температуропроводности</w:t>
      </w:r>
    </w:p>
    <w:p w:rsidR="00A44A4E" w:rsidRPr="00262418" w:rsidRDefault="00A44A4E" w:rsidP="00A44A4E">
      <w:pPr>
        <w:ind w:firstLine="709"/>
        <w:jc w:val="center"/>
        <w:rPr>
          <w:shadow w:val="0"/>
        </w:rPr>
      </w:pPr>
    </w:p>
    <w:p w:rsidR="00A44A4E" w:rsidRPr="00262418" w:rsidRDefault="00A44A4E" w:rsidP="00A44A4E">
      <w:pPr>
        <w:ind w:firstLine="709"/>
        <w:rPr>
          <w:shadow w:val="0"/>
        </w:rPr>
      </w:pPr>
    </w:p>
    <w:p w:rsidR="00EE4FF7" w:rsidRPr="00262418" w:rsidRDefault="0065068B" w:rsidP="0005306D">
      <w:pPr>
        <w:ind w:firstLine="709"/>
        <w:jc w:val="both"/>
        <w:rPr>
          <w:shadow w:val="0"/>
        </w:rPr>
      </w:pPr>
      <w:r w:rsidRPr="00262418">
        <w:rPr>
          <w:shadow w:val="0"/>
        </w:rPr>
        <w:t xml:space="preserve">Наиболее заметное изменение </w:t>
      </w:r>
      <w:proofErr w:type="spellStart"/>
      <w:r w:rsidRPr="00262418">
        <w:rPr>
          <w:shadow w:val="0"/>
        </w:rPr>
        <w:t>температуропроводности</w:t>
      </w:r>
      <w:proofErr w:type="spellEnd"/>
      <w:r w:rsidRPr="00262418">
        <w:rPr>
          <w:shadow w:val="0"/>
        </w:rPr>
        <w:t xml:space="preserve"> наблюдается при малых концентрациях гольмия. В области, где концентрация гольмия велика, изменения </w:t>
      </w:r>
      <w:proofErr w:type="spellStart"/>
      <w:r w:rsidRPr="00262418">
        <w:rPr>
          <w:shadow w:val="0"/>
        </w:rPr>
        <w:t>температуропроводности</w:t>
      </w:r>
      <w:proofErr w:type="spellEnd"/>
      <w:r w:rsidRPr="00262418">
        <w:rPr>
          <w:shadow w:val="0"/>
        </w:rPr>
        <w:t xml:space="preserve"> </w:t>
      </w:r>
      <w:r w:rsidR="00493FEC" w:rsidRPr="00262418">
        <w:rPr>
          <w:shadow w:val="0"/>
        </w:rPr>
        <w:t>сравнительно малы</w:t>
      </w:r>
      <w:r w:rsidRPr="00262418">
        <w:rPr>
          <w:shadow w:val="0"/>
        </w:rPr>
        <w:t>. Опыт показывает, что данная особенность носит электронную природу.</w:t>
      </w:r>
      <w:r w:rsidR="00493FEC" w:rsidRPr="00262418">
        <w:rPr>
          <w:shadow w:val="0"/>
        </w:rPr>
        <w:t xml:space="preserve"> </w:t>
      </w:r>
      <w:r w:rsidR="00C90394" w:rsidRPr="00262418">
        <w:rPr>
          <w:shadow w:val="0"/>
        </w:rPr>
        <w:t xml:space="preserve">Гольмий, как известно, относится к </w:t>
      </w:r>
      <w:r w:rsidR="00147049" w:rsidRPr="00262418">
        <w:rPr>
          <w:shadow w:val="0"/>
        </w:rPr>
        <w:t xml:space="preserve">тяжелым </w:t>
      </w:r>
      <w:r w:rsidR="00C90394" w:rsidRPr="00262418">
        <w:rPr>
          <w:shadow w:val="0"/>
        </w:rPr>
        <w:t xml:space="preserve">РЗМ </w:t>
      </w:r>
      <w:r w:rsidR="00147049" w:rsidRPr="00262418">
        <w:rPr>
          <w:shadow w:val="0"/>
        </w:rPr>
        <w:t xml:space="preserve">[10], т.е. к </w:t>
      </w:r>
      <w:r w:rsidR="00C90394" w:rsidRPr="00262418">
        <w:rPr>
          <w:shadow w:val="0"/>
        </w:rPr>
        <w:t>иттриевой групп</w:t>
      </w:r>
      <w:r w:rsidR="00147049" w:rsidRPr="00262418">
        <w:rPr>
          <w:shadow w:val="0"/>
        </w:rPr>
        <w:t>е</w:t>
      </w:r>
      <w:r w:rsidR="00C90394" w:rsidRPr="00262418">
        <w:rPr>
          <w:shadow w:val="0"/>
        </w:rPr>
        <w:t>,</w:t>
      </w:r>
      <w:r w:rsidR="00147049" w:rsidRPr="00262418">
        <w:rPr>
          <w:shadow w:val="0"/>
        </w:rPr>
        <w:t xml:space="preserve"> </w:t>
      </w:r>
      <w:proofErr w:type="gramStart"/>
      <w:r w:rsidR="00147049" w:rsidRPr="00262418">
        <w:rPr>
          <w:shadow w:val="0"/>
        </w:rPr>
        <w:t>и</w:t>
      </w:r>
      <w:proofErr w:type="gramEnd"/>
      <w:r w:rsidR="00147049" w:rsidRPr="00262418">
        <w:rPr>
          <w:shadow w:val="0"/>
        </w:rPr>
        <w:t xml:space="preserve"> следовательно, </w:t>
      </w:r>
      <w:r w:rsidR="00C90394" w:rsidRPr="00262418">
        <w:rPr>
          <w:shadow w:val="0"/>
        </w:rPr>
        <w:t>обладает электронной структурой подобно</w:t>
      </w:r>
      <w:r w:rsidR="00147049" w:rsidRPr="00262418">
        <w:rPr>
          <w:shadow w:val="0"/>
        </w:rPr>
        <w:t>й</w:t>
      </w:r>
      <w:r w:rsidR="00C90394" w:rsidRPr="00262418">
        <w:rPr>
          <w:shadow w:val="0"/>
        </w:rPr>
        <w:t xml:space="preserve"> структуре иттрия. </w:t>
      </w:r>
      <w:r w:rsidR="00623B14" w:rsidRPr="00262418">
        <w:rPr>
          <w:shadow w:val="0"/>
        </w:rPr>
        <w:t xml:space="preserve">Можно ожидать, что в твердом растворе </w:t>
      </w:r>
      <w:r w:rsidR="00623B14" w:rsidRPr="00262418">
        <w:rPr>
          <w:i/>
          <w:shadow w:val="0"/>
          <w:lang w:val="en-US"/>
        </w:rPr>
        <w:t>Y</w:t>
      </w:r>
      <w:r w:rsidR="00623B14" w:rsidRPr="00262418">
        <w:rPr>
          <w:i/>
          <w:shadow w:val="0"/>
        </w:rPr>
        <w:t>-</w:t>
      </w:r>
      <w:r w:rsidR="00623B14" w:rsidRPr="00262418">
        <w:rPr>
          <w:i/>
          <w:shadow w:val="0"/>
          <w:lang w:val="en-US"/>
        </w:rPr>
        <w:t>Ho</w:t>
      </w:r>
      <w:r w:rsidR="00623B14" w:rsidRPr="00262418">
        <w:rPr>
          <w:shadow w:val="0"/>
        </w:rPr>
        <w:t xml:space="preserve"> электронная структура существенно не изменится</w:t>
      </w:r>
      <w:r w:rsidR="007C40CE">
        <w:rPr>
          <w:shadow w:val="0"/>
        </w:rPr>
        <w:t xml:space="preserve"> </w:t>
      </w:r>
      <w:r w:rsidR="007C40CE" w:rsidRPr="007C40CE">
        <w:rPr>
          <w:shadow w:val="0"/>
        </w:rPr>
        <w:t>[10]</w:t>
      </w:r>
      <w:r w:rsidR="00623B14" w:rsidRPr="00262418">
        <w:rPr>
          <w:shadow w:val="0"/>
        </w:rPr>
        <w:t xml:space="preserve">. Снижение </w:t>
      </w:r>
      <w:proofErr w:type="spellStart"/>
      <w:r w:rsidR="00623B14" w:rsidRPr="00262418">
        <w:rPr>
          <w:shadow w:val="0"/>
        </w:rPr>
        <w:t>температуропроводности</w:t>
      </w:r>
      <w:proofErr w:type="spellEnd"/>
      <w:r w:rsidR="00623B14" w:rsidRPr="00262418">
        <w:rPr>
          <w:shadow w:val="0"/>
        </w:rPr>
        <w:t>, таким образом, обусловлено</w:t>
      </w:r>
      <w:r w:rsidR="00493FEC" w:rsidRPr="00262418">
        <w:rPr>
          <w:shadow w:val="0"/>
        </w:rPr>
        <w:t xml:space="preserve"> сравнительно резк</w:t>
      </w:r>
      <w:r w:rsidR="00623B14" w:rsidRPr="00262418">
        <w:rPr>
          <w:shadow w:val="0"/>
        </w:rPr>
        <w:t>им</w:t>
      </w:r>
      <w:r w:rsidR="00493FEC" w:rsidRPr="00262418">
        <w:rPr>
          <w:shadow w:val="0"/>
        </w:rPr>
        <w:t xml:space="preserve"> усиление</w:t>
      </w:r>
      <w:r w:rsidR="00623B14" w:rsidRPr="00262418">
        <w:rPr>
          <w:shadow w:val="0"/>
        </w:rPr>
        <w:t>м</w:t>
      </w:r>
      <w:r w:rsidR="00493FEC" w:rsidRPr="00262418">
        <w:rPr>
          <w:shadow w:val="0"/>
        </w:rPr>
        <w:t xml:space="preserve"> рассеяния электронов при  растворении в иттрии малых количеств гольмия.</w:t>
      </w:r>
      <w:r w:rsidR="006350D4" w:rsidRPr="00262418">
        <w:rPr>
          <w:shadow w:val="0"/>
        </w:rPr>
        <w:t xml:space="preserve"> </w:t>
      </w:r>
    </w:p>
    <w:p w:rsidR="009046F6" w:rsidRPr="00262418" w:rsidRDefault="009046F6" w:rsidP="0005306D">
      <w:pPr>
        <w:ind w:firstLine="709"/>
        <w:jc w:val="both"/>
        <w:rPr>
          <w:shadow w:val="0"/>
        </w:rPr>
      </w:pPr>
      <w:r w:rsidRPr="00262418">
        <w:rPr>
          <w:shadow w:val="0"/>
        </w:rPr>
        <w:t>Ион иттрия имеет вдвое меньшую массу</w:t>
      </w:r>
      <w:r w:rsidR="00473A1D" w:rsidRPr="00262418">
        <w:rPr>
          <w:shadow w:val="0"/>
        </w:rPr>
        <w:t xml:space="preserve"> по сравнени</w:t>
      </w:r>
      <w:r w:rsidR="00527509">
        <w:rPr>
          <w:shadow w:val="0"/>
        </w:rPr>
        <w:t>ю</w:t>
      </w:r>
      <w:r w:rsidR="00473A1D" w:rsidRPr="00262418">
        <w:rPr>
          <w:shadow w:val="0"/>
        </w:rPr>
        <w:t xml:space="preserve"> с</w:t>
      </w:r>
      <w:r w:rsidRPr="00262418">
        <w:rPr>
          <w:shadow w:val="0"/>
        </w:rPr>
        <w:t xml:space="preserve"> ион</w:t>
      </w:r>
      <w:r w:rsidR="00473A1D" w:rsidRPr="00262418">
        <w:rPr>
          <w:shadow w:val="0"/>
        </w:rPr>
        <w:t>ом</w:t>
      </w:r>
      <w:r w:rsidRPr="00262418">
        <w:rPr>
          <w:shadow w:val="0"/>
        </w:rPr>
        <w:t xml:space="preserve"> гольмия</w:t>
      </w:r>
      <w:r w:rsidR="00473A1D" w:rsidRPr="00262418">
        <w:rPr>
          <w:shadow w:val="0"/>
        </w:rPr>
        <w:t>, поэтому он должен обладать за счет этого большим рассеивающим свойством [11]. Опыт показывает, однако, что этот фактор, за счет которого должна была бы резко снижаться проводимость сплавов при добавлении малых количеств иттрия</w:t>
      </w:r>
      <w:r w:rsidR="00D24EB4" w:rsidRPr="00262418">
        <w:rPr>
          <w:shadow w:val="0"/>
        </w:rPr>
        <w:t xml:space="preserve"> к гольмию</w:t>
      </w:r>
      <w:r w:rsidR="00473A1D" w:rsidRPr="00262418">
        <w:rPr>
          <w:shadow w:val="0"/>
        </w:rPr>
        <w:t xml:space="preserve">, не является существенным. </w:t>
      </w:r>
      <w:r w:rsidR="006C18BD" w:rsidRPr="00262418">
        <w:rPr>
          <w:shadow w:val="0"/>
        </w:rPr>
        <w:t>Иными словами, гольмий для иттрия является более заметной примесью, чем иттрий для гольмия.</w:t>
      </w:r>
    </w:p>
    <w:p w:rsidR="00D24EB4" w:rsidRPr="00262418" w:rsidRDefault="00D24EB4" w:rsidP="0005306D">
      <w:pPr>
        <w:ind w:firstLine="709"/>
        <w:jc w:val="both"/>
        <w:rPr>
          <w:shadow w:val="0"/>
        </w:rPr>
      </w:pPr>
      <w:r w:rsidRPr="00262418">
        <w:rPr>
          <w:shadow w:val="0"/>
        </w:rPr>
        <w:t xml:space="preserve">Можно предположить поэтому, что </w:t>
      </w:r>
      <w:r w:rsidR="008929E6">
        <w:rPr>
          <w:shadow w:val="0"/>
        </w:rPr>
        <w:t>сравнительно сильное</w:t>
      </w:r>
      <w:r w:rsidRPr="00262418">
        <w:rPr>
          <w:shadow w:val="0"/>
        </w:rPr>
        <w:t xml:space="preserve"> рассеяние, которое создает в сплавах ион гольмия, обусловлено его магнитными свойствами</w:t>
      </w:r>
      <w:r w:rsidR="007C705C" w:rsidRPr="00262418">
        <w:rPr>
          <w:shadow w:val="0"/>
        </w:rPr>
        <w:t xml:space="preserve"> [</w:t>
      </w:r>
      <w:r w:rsidR="006C18BD">
        <w:rPr>
          <w:shadow w:val="0"/>
        </w:rPr>
        <w:t xml:space="preserve">10, </w:t>
      </w:r>
      <w:r w:rsidR="007C705C" w:rsidRPr="00262418">
        <w:rPr>
          <w:shadow w:val="0"/>
        </w:rPr>
        <w:t>12]</w:t>
      </w:r>
      <w:r w:rsidRPr="00262418">
        <w:rPr>
          <w:shadow w:val="0"/>
        </w:rPr>
        <w:t>.</w:t>
      </w:r>
      <w:r w:rsidR="00262418">
        <w:rPr>
          <w:shadow w:val="0"/>
        </w:rPr>
        <w:t xml:space="preserve"> Как известно, иттрий является </w:t>
      </w:r>
      <w:proofErr w:type="spellStart"/>
      <w:r w:rsidR="00262418">
        <w:rPr>
          <w:shadow w:val="0"/>
        </w:rPr>
        <w:t>паулевским</w:t>
      </w:r>
      <w:proofErr w:type="spellEnd"/>
      <w:r w:rsidR="00262418">
        <w:rPr>
          <w:shadow w:val="0"/>
        </w:rPr>
        <w:t xml:space="preserve"> парамагнетиком</w:t>
      </w:r>
      <w:r w:rsidR="00D62382">
        <w:rPr>
          <w:shadow w:val="0"/>
        </w:rPr>
        <w:t xml:space="preserve"> и его ион немагнитен</w:t>
      </w:r>
      <w:r w:rsidR="00262418">
        <w:rPr>
          <w:shadow w:val="0"/>
        </w:rPr>
        <w:t xml:space="preserve">, а </w:t>
      </w:r>
      <w:r w:rsidR="00D62382">
        <w:rPr>
          <w:shadow w:val="0"/>
        </w:rPr>
        <w:t xml:space="preserve">ион </w:t>
      </w:r>
      <w:r w:rsidR="00262418">
        <w:rPr>
          <w:shadow w:val="0"/>
        </w:rPr>
        <w:t>гольми</w:t>
      </w:r>
      <w:r w:rsidR="00D62382">
        <w:rPr>
          <w:shadow w:val="0"/>
        </w:rPr>
        <w:t>я обладает рекордным для РЗМ значением</w:t>
      </w:r>
      <w:r w:rsidR="00262418">
        <w:rPr>
          <w:shadow w:val="0"/>
        </w:rPr>
        <w:t xml:space="preserve"> </w:t>
      </w:r>
      <w:r w:rsidR="00D62382">
        <w:rPr>
          <w:shadow w:val="0"/>
        </w:rPr>
        <w:t xml:space="preserve">полного спинового числа, а потому и обладает значительным магнитным </w:t>
      </w:r>
      <w:r w:rsidR="00D62382">
        <w:rPr>
          <w:shadow w:val="0"/>
        </w:rPr>
        <w:lastRenderedPageBreak/>
        <w:t>моментом</w:t>
      </w:r>
      <w:r w:rsidR="000F21E6">
        <w:rPr>
          <w:shadow w:val="0"/>
        </w:rPr>
        <w:t xml:space="preserve"> </w:t>
      </w:r>
      <w:r w:rsidR="000F21E6" w:rsidRPr="000F21E6">
        <w:rPr>
          <w:shadow w:val="0"/>
        </w:rPr>
        <w:t>[12, 13]</w:t>
      </w:r>
      <w:r w:rsidR="00D62382">
        <w:rPr>
          <w:shadow w:val="0"/>
        </w:rPr>
        <w:t>. Это различие в их свойствах сохраняется во всем диапазоне температур.</w:t>
      </w:r>
      <w:r w:rsidR="000F21E6" w:rsidRPr="000F21E6">
        <w:rPr>
          <w:shadow w:val="0"/>
        </w:rPr>
        <w:t xml:space="preserve"> </w:t>
      </w:r>
      <w:r w:rsidR="006C18BD">
        <w:rPr>
          <w:shadow w:val="0"/>
        </w:rPr>
        <w:t xml:space="preserve">Таким </w:t>
      </w:r>
      <w:proofErr w:type="gramStart"/>
      <w:r w:rsidR="006C18BD">
        <w:rPr>
          <w:shadow w:val="0"/>
        </w:rPr>
        <w:t>образом</w:t>
      </w:r>
      <w:proofErr w:type="gramEnd"/>
      <w:r w:rsidR="006C18BD">
        <w:rPr>
          <w:shadow w:val="0"/>
        </w:rPr>
        <w:t xml:space="preserve"> и</w:t>
      </w:r>
      <w:r w:rsidR="000F21E6">
        <w:rPr>
          <w:shadow w:val="0"/>
        </w:rPr>
        <w:t xml:space="preserve">з проведенного анализа следует, что возможной причиной, влияющей на свойства сплавов, является магнитное рассеяние электронов проводимости, происходящее на </w:t>
      </w:r>
      <w:proofErr w:type="spellStart"/>
      <w:r w:rsidR="000F21E6">
        <w:rPr>
          <w:shadow w:val="0"/>
        </w:rPr>
        <w:t>разупорядоченных</w:t>
      </w:r>
      <w:proofErr w:type="spellEnd"/>
      <w:r w:rsidR="000F21E6">
        <w:rPr>
          <w:shadow w:val="0"/>
        </w:rPr>
        <w:t xml:space="preserve"> ионах гольмия.</w:t>
      </w:r>
    </w:p>
    <w:p w:rsidR="0077676F" w:rsidRPr="00887778" w:rsidRDefault="0077676F" w:rsidP="0005306D">
      <w:pPr>
        <w:ind w:firstLine="709"/>
        <w:jc w:val="both"/>
        <w:rPr>
          <w:shadow w:val="0"/>
        </w:rPr>
      </w:pPr>
      <w:r w:rsidRPr="0077676F">
        <w:rPr>
          <w:b/>
        </w:rPr>
        <w:t>Выводы</w:t>
      </w:r>
      <w:r>
        <w:t>.</w:t>
      </w:r>
      <w:r w:rsidR="00887778">
        <w:t xml:space="preserve"> </w:t>
      </w:r>
      <w:proofErr w:type="spellStart"/>
      <w:r w:rsidR="0048776B">
        <w:t>Температуропроводность</w:t>
      </w:r>
      <w:proofErr w:type="spellEnd"/>
      <w:r w:rsidR="0048776B">
        <w:t xml:space="preserve"> </w:t>
      </w:r>
      <w:r w:rsidR="00887778" w:rsidRPr="00887778">
        <w:rPr>
          <w:shadow w:val="0"/>
        </w:rPr>
        <w:t xml:space="preserve">сплавов </w:t>
      </w:r>
      <w:r w:rsidR="00887778" w:rsidRPr="00887778">
        <w:rPr>
          <w:i/>
          <w:shadow w:val="0"/>
          <w:lang w:val="en-US"/>
        </w:rPr>
        <w:t>Y</w:t>
      </w:r>
      <w:r w:rsidR="00887778" w:rsidRPr="00887778">
        <w:rPr>
          <w:i/>
          <w:shadow w:val="0"/>
        </w:rPr>
        <w:t>-</w:t>
      </w:r>
      <w:r w:rsidR="00887778" w:rsidRPr="00887778">
        <w:rPr>
          <w:i/>
          <w:shadow w:val="0"/>
          <w:lang w:val="en-US"/>
        </w:rPr>
        <w:t>Ho</w:t>
      </w:r>
      <w:r w:rsidR="00887778" w:rsidRPr="00887778">
        <w:rPr>
          <w:shadow w:val="0"/>
        </w:rPr>
        <w:t xml:space="preserve"> испытывает существенные изменения при малых концентрациях гольмия. Возможной причиной наблюдаемого явления может быть рассеяние носителей заряда на </w:t>
      </w:r>
      <w:proofErr w:type="spellStart"/>
      <w:r w:rsidR="00887778" w:rsidRPr="00887778">
        <w:rPr>
          <w:shadow w:val="0"/>
        </w:rPr>
        <w:t>разупорядоченных</w:t>
      </w:r>
      <w:proofErr w:type="spellEnd"/>
      <w:r w:rsidR="00887778" w:rsidRPr="00887778">
        <w:rPr>
          <w:shadow w:val="0"/>
        </w:rPr>
        <w:t xml:space="preserve"> ионах гольмия.</w:t>
      </w:r>
    </w:p>
    <w:p w:rsidR="00EE4FF7" w:rsidRPr="00C6465B" w:rsidRDefault="00C6465B" w:rsidP="0005306D">
      <w:pPr>
        <w:ind w:firstLine="709"/>
        <w:jc w:val="both"/>
        <w:rPr>
          <w:shadow w:val="0"/>
          <w:szCs w:val="28"/>
        </w:rPr>
      </w:pPr>
      <w:r w:rsidRPr="00C6465B">
        <w:rPr>
          <w:iCs/>
          <w:shadow w:val="0"/>
          <w:szCs w:val="28"/>
        </w:rPr>
        <w:t xml:space="preserve">Работа выполнена при поддержке РФФИ (гранты </w:t>
      </w:r>
      <w:r w:rsidRPr="00C6465B">
        <w:rPr>
          <w:szCs w:val="28"/>
        </w:rPr>
        <w:t>№ 11-08-00275</w:t>
      </w:r>
      <w:r w:rsidRPr="00C6465B">
        <w:rPr>
          <w:shadow w:val="0"/>
          <w:szCs w:val="28"/>
        </w:rPr>
        <w:t xml:space="preserve"> </w:t>
      </w:r>
      <w:r>
        <w:rPr>
          <w:shadow w:val="0"/>
          <w:szCs w:val="28"/>
        </w:rPr>
        <w:t xml:space="preserve">и </w:t>
      </w:r>
      <w:r w:rsidRPr="00C6465B">
        <w:rPr>
          <w:shadow w:val="0"/>
          <w:szCs w:val="28"/>
        </w:rPr>
        <w:t>№ 14-08-00228</w:t>
      </w:r>
      <w:r w:rsidRPr="00C6465B">
        <w:rPr>
          <w:iCs/>
          <w:shadow w:val="0"/>
          <w:szCs w:val="28"/>
        </w:rPr>
        <w:t>)</w:t>
      </w:r>
    </w:p>
    <w:p w:rsidR="00EE4FF7" w:rsidRDefault="00EE4FF7" w:rsidP="0005306D">
      <w:pPr>
        <w:ind w:firstLine="709"/>
        <w:jc w:val="both"/>
      </w:pPr>
    </w:p>
    <w:p w:rsidR="00EE4FF7" w:rsidRDefault="00EE4FF7" w:rsidP="00EE4FF7">
      <w:pPr>
        <w:jc w:val="center"/>
        <w:rPr>
          <w:b/>
          <w:szCs w:val="28"/>
        </w:rPr>
      </w:pPr>
      <w:r w:rsidRPr="00122BB0">
        <w:rPr>
          <w:b/>
          <w:szCs w:val="28"/>
        </w:rPr>
        <w:t>ЛИТЕРАТУРА</w:t>
      </w:r>
    </w:p>
    <w:p w:rsidR="00EE4FF7" w:rsidRPr="00A132A7" w:rsidRDefault="00EE4FF7" w:rsidP="00EE4FF7">
      <w:pPr>
        <w:jc w:val="center"/>
        <w:rPr>
          <w:b/>
          <w:shadow w:val="0"/>
          <w:szCs w:val="28"/>
        </w:rPr>
      </w:pPr>
    </w:p>
    <w:p w:rsidR="00123EB5" w:rsidRPr="00A132A7" w:rsidRDefault="00123EB5" w:rsidP="00123EB5">
      <w:pPr>
        <w:jc w:val="both"/>
        <w:rPr>
          <w:shadow w:val="0"/>
          <w:szCs w:val="28"/>
        </w:rPr>
      </w:pPr>
      <w:r w:rsidRPr="00A132A7">
        <w:rPr>
          <w:shadow w:val="0"/>
          <w:szCs w:val="28"/>
        </w:rPr>
        <w:t xml:space="preserve">1. Зиновьев В.Е. Теплофизические свойства металлов при высоких температурах.- М.: Металлургия, 1989.  384 </w:t>
      </w:r>
      <w:proofErr w:type="gramStart"/>
      <w:r w:rsidRPr="00A132A7">
        <w:rPr>
          <w:shadow w:val="0"/>
          <w:szCs w:val="28"/>
        </w:rPr>
        <w:t>с</w:t>
      </w:r>
      <w:proofErr w:type="gramEnd"/>
      <w:r w:rsidRPr="00A132A7">
        <w:rPr>
          <w:shadow w:val="0"/>
          <w:szCs w:val="28"/>
        </w:rPr>
        <w:t>.</w:t>
      </w:r>
    </w:p>
    <w:p w:rsidR="00EE4FF7" w:rsidRPr="00A132A7" w:rsidRDefault="00123EB5" w:rsidP="00123EB5">
      <w:pPr>
        <w:autoSpaceDE w:val="0"/>
        <w:autoSpaceDN w:val="0"/>
        <w:adjustRightInd w:val="0"/>
        <w:jc w:val="both"/>
        <w:rPr>
          <w:rFonts w:eastAsia="NewtonC"/>
          <w:shadow w:val="0"/>
          <w:szCs w:val="28"/>
        </w:rPr>
      </w:pPr>
      <w:r w:rsidRPr="00A132A7">
        <w:rPr>
          <w:iCs/>
          <w:shadow w:val="0"/>
          <w:szCs w:val="28"/>
        </w:rPr>
        <w:t xml:space="preserve">2.  </w:t>
      </w:r>
      <w:r w:rsidR="00EE4FF7" w:rsidRPr="00A132A7">
        <w:rPr>
          <w:iCs/>
          <w:shadow w:val="0"/>
          <w:szCs w:val="28"/>
        </w:rPr>
        <w:t xml:space="preserve">Ивлиев А.Д. </w:t>
      </w:r>
      <w:r w:rsidR="00EE4FF7" w:rsidRPr="00A132A7">
        <w:rPr>
          <w:rFonts w:eastAsia="NewtonC"/>
          <w:shadow w:val="0"/>
          <w:szCs w:val="28"/>
        </w:rPr>
        <w:t>Высокотемпературные теплофизические свойства твердых редкоземельных металлов /</w:t>
      </w:r>
      <w:proofErr w:type="spellStart"/>
      <w:r w:rsidR="00EE4FF7" w:rsidRPr="00A132A7">
        <w:rPr>
          <w:rFonts w:eastAsia="NewtonC"/>
          <w:shadow w:val="0"/>
          <w:szCs w:val="28"/>
        </w:rPr>
        <w:t>Дисс</w:t>
      </w:r>
      <w:proofErr w:type="spellEnd"/>
      <w:r w:rsidR="00EE4FF7" w:rsidRPr="00A132A7">
        <w:rPr>
          <w:rFonts w:eastAsia="NewtonC"/>
          <w:shadow w:val="0"/>
          <w:szCs w:val="28"/>
        </w:rPr>
        <w:t xml:space="preserve">. … </w:t>
      </w:r>
      <w:proofErr w:type="spellStart"/>
      <w:r w:rsidR="00EE4FF7" w:rsidRPr="00A132A7">
        <w:rPr>
          <w:rFonts w:eastAsia="NewtonC"/>
          <w:shadow w:val="0"/>
          <w:szCs w:val="28"/>
        </w:rPr>
        <w:t>докт</w:t>
      </w:r>
      <w:proofErr w:type="spellEnd"/>
      <w:r w:rsidR="00EE4FF7" w:rsidRPr="00A132A7">
        <w:rPr>
          <w:rFonts w:eastAsia="NewtonC"/>
          <w:shadow w:val="0"/>
          <w:szCs w:val="28"/>
        </w:rPr>
        <w:t xml:space="preserve">. физ. мат. наук. Екатеринбург: Уральский горный институт им. В.В. Вахрушева, 1991. 455 </w:t>
      </w:r>
      <w:proofErr w:type="gramStart"/>
      <w:r w:rsidR="00EE4FF7" w:rsidRPr="00A132A7">
        <w:rPr>
          <w:rFonts w:eastAsia="NewtonC"/>
          <w:shadow w:val="0"/>
          <w:szCs w:val="28"/>
        </w:rPr>
        <w:t>с</w:t>
      </w:r>
      <w:proofErr w:type="gramEnd"/>
      <w:r w:rsidR="00EE4FF7" w:rsidRPr="00A132A7">
        <w:rPr>
          <w:rFonts w:eastAsia="NewtonC"/>
          <w:shadow w:val="0"/>
          <w:szCs w:val="28"/>
        </w:rPr>
        <w:t>.</w:t>
      </w:r>
    </w:p>
    <w:p w:rsidR="00666F9D" w:rsidRPr="00A132A7" w:rsidRDefault="00666F9D" w:rsidP="00666F9D">
      <w:pPr>
        <w:autoSpaceDE w:val="0"/>
        <w:autoSpaceDN w:val="0"/>
        <w:adjustRightInd w:val="0"/>
        <w:jc w:val="both"/>
        <w:rPr>
          <w:shadow w:val="0"/>
          <w:szCs w:val="28"/>
        </w:rPr>
      </w:pPr>
      <w:r w:rsidRPr="00A132A7">
        <w:rPr>
          <w:rFonts w:eastAsia="NewtonC"/>
          <w:shadow w:val="0"/>
          <w:szCs w:val="28"/>
        </w:rPr>
        <w:t xml:space="preserve">3.  </w:t>
      </w:r>
      <w:r w:rsidRPr="00A132A7">
        <w:rPr>
          <w:shadow w:val="0"/>
          <w:szCs w:val="28"/>
        </w:rPr>
        <w:t>Диаграммы состояния двойных металлических систем: справочник</w:t>
      </w:r>
      <w:r w:rsidR="00B93D76">
        <w:rPr>
          <w:shadow w:val="0"/>
          <w:szCs w:val="28"/>
        </w:rPr>
        <w:t>.</w:t>
      </w:r>
      <w:r w:rsidRPr="00A132A7">
        <w:rPr>
          <w:shadow w:val="0"/>
          <w:szCs w:val="28"/>
        </w:rPr>
        <w:t xml:space="preserve"> /Под ред. Н. П. Лякишева. М</w:t>
      </w:r>
      <w:r w:rsidRPr="00B93D76">
        <w:rPr>
          <w:shadow w:val="0"/>
          <w:szCs w:val="28"/>
        </w:rPr>
        <w:t xml:space="preserve">: </w:t>
      </w:r>
      <w:r w:rsidRPr="00A132A7">
        <w:rPr>
          <w:shadow w:val="0"/>
          <w:szCs w:val="28"/>
        </w:rPr>
        <w:t>Машиностроение</w:t>
      </w:r>
      <w:r w:rsidRPr="00B93D76">
        <w:rPr>
          <w:shadow w:val="0"/>
          <w:szCs w:val="28"/>
        </w:rPr>
        <w:t>, 199</w:t>
      </w:r>
      <w:r w:rsidR="00C246CB" w:rsidRPr="00B93D76">
        <w:rPr>
          <w:shadow w:val="0"/>
          <w:szCs w:val="28"/>
        </w:rPr>
        <w:t>7</w:t>
      </w:r>
      <w:r w:rsidRPr="00B93D76">
        <w:rPr>
          <w:shadow w:val="0"/>
          <w:szCs w:val="28"/>
        </w:rPr>
        <w:t xml:space="preserve">. </w:t>
      </w:r>
      <w:r w:rsidRPr="00A132A7">
        <w:rPr>
          <w:shadow w:val="0"/>
          <w:szCs w:val="28"/>
        </w:rPr>
        <w:t>Т</w:t>
      </w:r>
      <w:r w:rsidRPr="00B93D76">
        <w:rPr>
          <w:shadow w:val="0"/>
          <w:szCs w:val="28"/>
        </w:rPr>
        <w:t xml:space="preserve">. </w:t>
      </w:r>
      <w:r w:rsidR="00C246CB" w:rsidRPr="00B93D76">
        <w:rPr>
          <w:shadow w:val="0"/>
          <w:szCs w:val="28"/>
        </w:rPr>
        <w:t>2.</w:t>
      </w:r>
      <w:r w:rsidRPr="00B93D76">
        <w:rPr>
          <w:shadow w:val="0"/>
          <w:szCs w:val="28"/>
        </w:rPr>
        <w:t xml:space="preserve">  </w:t>
      </w:r>
      <w:r w:rsidR="00C246CB" w:rsidRPr="00A132A7">
        <w:rPr>
          <w:shadow w:val="0"/>
          <w:szCs w:val="28"/>
        </w:rPr>
        <w:t>1024</w:t>
      </w:r>
      <w:r w:rsidRPr="00B93D76">
        <w:rPr>
          <w:shadow w:val="0"/>
          <w:szCs w:val="28"/>
        </w:rPr>
        <w:t xml:space="preserve"> </w:t>
      </w:r>
      <w:r w:rsidRPr="00A132A7">
        <w:rPr>
          <w:shadow w:val="0"/>
          <w:szCs w:val="28"/>
        </w:rPr>
        <w:t>с</w:t>
      </w:r>
      <w:r w:rsidRPr="00B93D76">
        <w:rPr>
          <w:shadow w:val="0"/>
          <w:szCs w:val="28"/>
        </w:rPr>
        <w:t xml:space="preserve">. </w:t>
      </w:r>
    </w:p>
    <w:p w:rsidR="0039009E" w:rsidRPr="00A132A7" w:rsidRDefault="0039009E" w:rsidP="00666F9D">
      <w:pPr>
        <w:autoSpaceDE w:val="0"/>
        <w:autoSpaceDN w:val="0"/>
        <w:adjustRightInd w:val="0"/>
        <w:jc w:val="both"/>
        <w:rPr>
          <w:shadow w:val="0"/>
          <w:szCs w:val="28"/>
        </w:rPr>
      </w:pPr>
      <w:r w:rsidRPr="00A132A7">
        <w:rPr>
          <w:shadow w:val="0"/>
          <w:szCs w:val="28"/>
        </w:rPr>
        <w:t xml:space="preserve">4. Тонков Е.Ю. Фазовые диаграммы элементов при высоком давлении. – М.: «Наука», 1979. 192 </w:t>
      </w:r>
      <w:proofErr w:type="gramStart"/>
      <w:r w:rsidRPr="00A132A7">
        <w:rPr>
          <w:shadow w:val="0"/>
          <w:szCs w:val="28"/>
        </w:rPr>
        <w:t>с</w:t>
      </w:r>
      <w:proofErr w:type="gramEnd"/>
      <w:r w:rsidRPr="00A132A7">
        <w:rPr>
          <w:shadow w:val="0"/>
          <w:szCs w:val="28"/>
        </w:rPr>
        <w:t>.</w:t>
      </w:r>
    </w:p>
    <w:p w:rsidR="00A132A7" w:rsidRDefault="00A132A7" w:rsidP="002B188D">
      <w:pPr>
        <w:autoSpaceDE w:val="0"/>
        <w:autoSpaceDN w:val="0"/>
        <w:adjustRightInd w:val="0"/>
        <w:jc w:val="both"/>
        <w:rPr>
          <w:shadow w:val="0"/>
          <w:szCs w:val="28"/>
        </w:rPr>
      </w:pPr>
      <w:r w:rsidRPr="00A132A7">
        <w:rPr>
          <w:shadow w:val="0"/>
          <w:szCs w:val="28"/>
        </w:rPr>
        <w:t>5. Ивлиев А.Д. Метод температурных волн в теплофизических исследованиях. //</w:t>
      </w:r>
      <w:r w:rsidRPr="00A132A7">
        <w:rPr>
          <w:i/>
          <w:shadow w:val="0"/>
          <w:szCs w:val="28"/>
        </w:rPr>
        <w:t>Т</w:t>
      </w:r>
      <w:r w:rsidR="00BA5DE8">
        <w:rPr>
          <w:i/>
          <w:shadow w:val="0"/>
          <w:szCs w:val="28"/>
        </w:rPr>
        <w:t>еплофизика высоких температур</w:t>
      </w:r>
      <w:r w:rsidRPr="00A132A7">
        <w:rPr>
          <w:shadow w:val="0"/>
          <w:szCs w:val="28"/>
        </w:rPr>
        <w:t xml:space="preserve">, </w:t>
      </w:r>
      <w:r w:rsidRPr="00A132A7">
        <w:rPr>
          <w:b/>
          <w:shadow w:val="0"/>
          <w:szCs w:val="28"/>
        </w:rPr>
        <w:t>47</w:t>
      </w:r>
      <w:r>
        <w:rPr>
          <w:b/>
          <w:shadow w:val="0"/>
          <w:szCs w:val="28"/>
        </w:rPr>
        <w:t xml:space="preserve"> </w:t>
      </w:r>
      <w:r>
        <w:rPr>
          <w:shadow w:val="0"/>
          <w:szCs w:val="28"/>
        </w:rPr>
        <w:t>(2009),</w:t>
      </w:r>
      <w:r w:rsidRPr="00A132A7">
        <w:rPr>
          <w:shadow w:val="0"/>
          <w:szCs w:val="28"/>
        </w:rPr>
        <w:t xml:space="preserve"> № 5. С. 771-792.</w:t>
      </w:r>
    </w:p>
    <w:p w:rsidR="002B188D" w:rsidRDefault="002B188D" w:rsidP="00727CE9">
      <w:pPr>
        <w:pStyle w:val="1"/>
        <w:jc w:val="both"/>
        <w:rPr>
          <w:lang w:val="en-US"/>
        </w:rPr>
      </w:pPr>
      <w:r>
        <w:rPr>
          <w:shadow/>
        </w:rPr>
        <w:t xml:space="preserve">6. </w:t>
      </w:r>
      <w:r w:rsidRPr="002B188D">
        <w:t>Векшина О.А.,</w:t>
      </w:r>
      <w:r>
        <w:t xml:space="preserve"> </w:t>
      </w:r>
      <w:r w:rsidRPr="002B188D">
        <w:t>Векшин И.М., Куриченко А.А.,</w:t>
      </w:r>
      <w:r>
        <w:t xml:space="preserve"> </w:t>
      </w:r>
      <w:r w:rsidRPr="002B188D">
        <w:t>Ивлиев А.Д.</w:t>
      </w:r>
      <w:r>
        <w:t xml:space="preserve"> </w:t>
      </w:r>
      <w:r w:rsidRPr="004E4EAF">
        <w:t>Высокостабильный модулятор теплового излучения установки для измерения теплофизических характеристик материалов</w:t>
      </w:r>
      <w:r>
        <w:t>. //</w:t>
      </w:r>
      <w:r w:rsidRPr="002B188D">
        <w:t xml:space="preserve"> </w:t>
      </w:r>
      <w:r w:rsidRPr="002B188D">
        <w:rPr>
          <w:i/>
        </w:rPr>
        <w:t>Измерительная техника</w:t>
      </w:r>
      <w:r w:rsidRPr="004E4EAF">
        <w:t>, 2010, № 6. С. 42-45.</w:t>
      </w:r>
    </w:p>
    <w:p w:rsidR="00D23E40" w:rsidRDefault="00D23E40" w:rsidP="00D23E40">
      <w:pPr>
        <w:rPr>
          <w:shadow w:val="0"/>
        </w:rPr>
      </w:pPr>
      <w:r w:rsidRPr="00D23E40">
        <w:rPr>
          <w:shadow w:val="0"/>
        </w:rPr>
        <w:t xml:space="preserve">7. Кулаков М.В., Макаров В.И. Измерение температуры   поверхности   твердых   тел.   М.:   Энергия,   1979.  96 </w:t>
      </w:r>
      <w:proofErr w:type="gramStart"/>
      <w:r w:rsidRPr="00D23E40">
        <w:rPr>
          <w:shadow w:val="0"/>
        </w:rPr>
        <w:t>с</w:t>
      </w:r>
      <w:proofErr w:type="gramEnd"/>
      <w:r w:rsidRPr="00D23E40">
        <w:rPr>
          <w:shadow w:val="0"/>
        </w:rPr>
        <w:t>.</w:t>
      </w:r>
    </w:p>
    <w:p w:rsidR="00E32830" w:rsidRPr="00D23E40" w:rsidRDefault="00E32830" w:rsidP="00E32830">
      <w:pPr>
        <w:rPr>
          <w:shadow w:val="0"/>
        </w:rPr>
      </w:pPr>
      <w:r>
        <w:rPr>
          <w:shadow w:val="0"/>
        </w:rPr>
        <w:t xml:space="preserve">8. </w:t>
      </w:r>
      <w:r w:rsidRPr="00E32830">
        <w:rPr>
          <w:shadow w:val="0"/>
        </w:rPr>
        <w:t>Филиппов Л.П. Измерение тепловых свой</w:t>
      </w:r>
      <w:proofErr w:type="gramStart"/>
      <w:r w:rsidRPr="00E32830">
        <w:rPr>
          <w:shadow w:val="0"/>
        </w:rPr>
        <w:t>ств тв</w:t>
      </w:r>
      <w:proofErr w:type="gramEnd"/>
      <w:r w:rsidRPr="00E32830">
        <w:rPr>
          <w:shadow w:val="0"/>
        </w:rPr>
        <w:t>ердых и жидких металлов при высоких температурах. М.: Изд</w:t>
      </w:r>
      <w:r>
        <w:rPr>
          <w:shadow w:val="0"/>
        </w:rPr>
        <w:t>-</w:t>
      </w:r>
      <w:r w:rsidRPr="00E32830">
        <w:rPr>
          <w:shadow w:val="0"/>
        </w:rPr>
        <w:t xml:space="preserve">во МГУ, 1967. 325 </w:t>
      </w:r>
      <w:proofErr w:type="gramStart"/>
      <w:r w:rsidRPr="00E32830">
        <w:rPr>
          <w:shadow w:val="0"/>
        </w:rPr>
        <w:t>с</w:t>
      </w:r>
      <w:proofErr w:type="gramEnd"/>
      <w:r w:rsidRPr="00E32830">
        <w:rPr>
          <w:shadow w:val="0"/>
        </w:rPr>
        <w:t>.</w:t>
      </w:r>
    </w:p>
    <w:p w:rsidR="00B9240C" w:rsidRDefault="00E32830" w:rsidP="00727CE9">
      <w:pPr>
        <w:adjustRightInd w:val="0"/>
        <w:jc w:val="both"/>
        <w:rPr>
          <w:shadow w:val="0"/>
        </w:rPr>
      </w:pPr>
      <w:r>
        <w:rPr>
          <w:shadow w:val="0"/>
        </w:rPr>
        <w:t>9</w:t>
      </w:r>
      <w:r w:rsidR="00B9240C" w:rsidRPr="003300D1">
        <w:rPr>
          <w:shadow w:val="0"/>
        </w:rPr>
        <w:t xml:space="preserve">. Векшин И.М., Векшина О.А.,. Куриченко А.А.,  Ивлиев А.Д. </w:t>
      </w:r>
      <w:r w:rsidR="00B9240C" w:rsidRPr="003300D1">
        <w:rPr>
          <w:rFonts w:eastAsia="F3"/>
          <w:bCs/>
          <w:shadow w:val="0"/>
        </w:rPr>
        <w:t>Усилитель сигнала от преобразователя колебаний температуры поверхности образца. //</w:t>
      </w:r>
      <w:r w:rsidR="003300D1" w:rsidRPr="003300D1">
        <w:rPr>
          <w:shadow w:val="0"/>
        </w:rPr>
        <w:t xml:space="preserve"> </w:t>
      </w:r>
      <w:r w:rsidR="003300D1" w:rsidRPr="003300D1">
        <w:rPr>
          <w:i/>
          <w:shadow w:val="0"/>
        </w:rPr>
        <w:t>Измерительная техника</w:t>
      </w:r>
      <w:r w:rsidR="003300D1" w:rsidRPr="003300D1">
        <w:rPr>
          <w:shadow w:val="0"/>
        </w:rPr>
        <w:t>, 2012, № 11. С. 26-28.</w:t>
      </w:r>
    </w:p>
    <w:p w:rsidR="00147049" w:rsidRDefault="00147049" w:rsidP="00727CE9">
      <w:pPr>
        <w:adjustRightInd w:val="0"/>
        <w:jc w:val="both"/>
        <w:rPr>
          <w:shadow w:val="0"/>
        </w:rPr>
      </w:pPr>
      <w:r>
        <w:rPr>
          <w:shadow w:val="0"/>
        </w:rPr>
        <w:t xml:space="preserve">10. </w:t>
      </w:r>
      <w:r w:rsidR="007C40CE">
        <w:rPr>
          <w:shadow w:val="0"/>
        </w:rPr>
        <w:t>Никитин С.А. Магнитные свойства редкоземельных металлов и их сплавов</w:t>
      </w:r>
      <w:r>
        <w:rPr>
          <w:shadow w:val="0"/>
        </w:rPr>
        <w:t xml:space="preserve">. М.: </w:t>
      </w:r>
      <w:r w:rsidR="007C40CE">
        <w:rPr>
          <w:shadow w:val="0"/>
        </w:rPr>
        <w:t xml:space="preserve">Изд-во МГУ, 1989. 248 </w:t>
      </w:r>
      <w:proofErr w:type="gramStart"/>
      <w:r w:rsidR="007C40CE">
        <w:rPr>
          <w:shadow w:val="0"/>
        </w:rPr>
        <w:t>с</w:t>
      </w:r>
      <w:proofErr w:type="gramEnd"/>
      <w:r w:rsidR="007C40CE">
        <w:rPr>
          <w:shadow w:val="0"/>
        </w:rPr>
        <w:t>.</w:t>
      </w:r>
    </w:p>
    <w:p w:rsidR="00473A1D" w:rsidRPr="0084229A" w:rsidRDefault="00473A1D" w:rsidP="00727CE9">
      <w:pPr>
        <w:adjustRightInd w:val="0"/>
        <w:jc w:val="both"/>
        <w:rPr>
          <w:shadow w:val="0"/>
        </w:rPr>
      </w:pPr>
      <w:r>
        <w:rPr>
          <w:shadow w:val="0"/>
        </w:rPr>
        <w:t xml:space="preserve">11. </w:t>
      </w:r>
      <w:proofErr w:type="spellStart"/>
      <w:r>
        <w:rPr>
          <w:shadow w:val="0"/>
        </w:rPr>
        <w:t>Займ</w:t>
      </w:r>
      <w:r w:rsidR="000F21E6">
        <w:rPr>
          <w:shadow w:val="0"/>
        </w:rPr>
        <w:t>а</w:t>
      </w:r>
      <w:r>
        <w:rPr>
          <w:shadow w:val="0"/>
        </w:rPr>
        <w:t>н</w:t>
      </w:r>
      <w:proofErr w:type="spellEnd"/>
      <w:r>
        <w:rPr>
          <w:shadow w:val="0"/>
        </w:rPr>
        <w:t xml:space="preserve"> Дж. Электроны и фононы. М.: Издательство</w:t>
      </w:r>
      <w:r w:rsidR="006E7B7E">
        <w:rPr>
          <w:shadow w:val="0"/>
        </w:rPr>
        <w:t xml:space="preserve"> </w:t>
      </w:r>
      <w:r>
        <w:rPr>
          <w:shadow w:val="0"/>
        </w:rPr>
        <w:t xml:space="preserve">иностранной литературы, 1962. 488 </w:t>
      </w:r>
      <w:proofErr w:type="gramStart"/>
      <w:r>
        <w:rPr>
          <w:shadow w:val="0"/>
        </w:rPr>
        <w:t>с</w:t>
      </w:r>
      <w:proofErr w:type="gramEnd"/>
      <w:r>
        <w:rPr>
          <w:shadow w:val="0"/>
        </w:rPr>
        <w:t>.</w:t>
      </w:r>
    </w:p>
    <w:p w:rsidR="007C705C" w:rsidRPr="007C40CE" w:rsidRDefault="007C705C" w:rsidP="00727CE9">
      <w:pPr>
        <w:adjustRightInd w:val="0"/>
        <w:jc w:val="both"/>
        <w:rPr>
          <w:shadow w:val="0"/>
        </w:rPr>
      </w:pPr>
      <w:r w:rsidRPr="007C705C">
        <w:rPr>
          <w:shadow w:val="0"/>
        </w:rPr>
        <w:t>12</w:t>
      </w:r>
      <w:r>
        <w:rPr>
          <w:shadow w:val="0"/>
        </w:rPr>
        <w:t xml:space="preserve">. Белов К.П. Редкоземельные магнетики и их применение. М.: Наука, 1980. 240 </w:t>
      </w:r>
      <w:proofErr w:type="gramStart"/>
      <w:r>
        <w:rPr>
          <w:shadow w:val="0"/>
        </w:rPr>
        <w:t>с</w:t>
      </w:r>
      <w:proofErr w:type="gramEnd"/>
      <w:r>
        <w:rPr>
          <w:shadow w:val="0"/>
        </w:rPr>
        <w:t>.</w:t>
      </w:r>
    </w:p>
    <w:p w:rsidR="00666F9D" w:rsidRPr="0039009E" w:rsidRDefault="000F21E6" w:rsidP="00887778">
      <w:pPr>
        <w:adjustRightInd w:val="0"/>
        <w:jc w:val="both"/>
        <w:rPr>
          <w:rFonts w:eastAsia="NewtonC"/>
          <w:shadow w:val="0"/>
          <w:szCs w:val="28"/>
        </w:rPr>
      </w:pPr>
      <w:r w:rsidRPr="000F21E6">
        <w:rPr>
          <w:shadow w:val="0"/>
        </w:rPr>
        <w:t>13</w:t>
      </w:r>
      <w:r>
        <w:rPr>
          <w:shadow w:val="0"/>
        </w:rPr>
        <w:t>. Уайт Р. Квантовая теория магнетизма. М.: Мир, 1985. 303 с.</w:t>
      </w:r>
    </w:p>
    <w:p w:rsidR="00123EB5" w:rsidRPr="0039009E" w:rsidRDefault="00123EB5" w:rsidP="00EE4FF7">
      <w:pPr>
        <w:autoSpaceDE w:val="0"/>
        <w:autoSpaceDN w:val="0"/>
        <w:adjustRightInd w:val="0"/>
        <w:rPr>
          <w:rFonts w:eastAsia="NewtonC"/>
          <w:shadow w:val="0"/>
          <w:szCs w:val="28"/>
        </w:rPr>
      </w:pPr>
    </w:p>
    <w:p w:rsidR="00123EB5" w:rsidRPr="00123EB5" w:rsidRDefault="00123EB5" w:rsidP="00EE4FF7">
      <w:pPr>
        <w:autoSpaceDE w:val="0"/>
        <w:autoSpaceDN w:val="0"/>
        <w:adjustRightInd w:val="0"/>
        <w:rPr>
          <w:szCs w:val="28"/>
          <w:lang w:val="en-US"/>
        </w:rPr>
      </w:pPr>
    </w:p>
    <w:sectPr w:rsidR="00123EB5" w:rsidRPr="00123EB5" w:rsidSect="00ED35E1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3556"/>
    <w:multiLevelType w:val="hybridMultilevel"/>
    <w:tmpl w:val="50729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15C34"/>
    <w:multiLevelType w:val="hybridMultilevel"/>
    <w:tmpl w:val="EC74E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96A67"/>
    <w:multiLevelType w:val="hybridMultilevel"/>
    <w:tmpl w:val="EF60D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C48EA"/>
    <w:multiLevelType w:val="hybridMultilevel"/>
    <w:tmpl w:val="D26E7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B3E09"/>
    <w:multiLevelType w:val="hybridMultilevel"/>
    <w:tmpl w:val="38E4F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2091C"/>
    <w:multiLevelType w:val="hybridMultilevel"/>
    <w:tmpl w:val="C360B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23119"/>
    <w:multiLevelType w:val="hybridMultilevel"/>
    <w:tmpl w:val="D5B2AF74"/>
    <w:lvl w:ilvl="0" w:tplc="19D41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FC3"/>
    <w:rsid w:val="00014007"/>
    <w:rsid w:val="0005306D"/>
    <w:rsid w:val="000E2B61"/>
    <w:rsid w:val="000F21E6"/>
    <w:rsid w:val="00123EB5"/>
    <w:rsid w:val="00142AB2"/>
    <w:rsid w:val="00147049"/>
    <w:rsid w:val="00165078"/>
    <w:rsid w:val="00262418"/>
    <w:rsid w:val="002B188D"/>
    <w:rsid w:val="003300D1"/>
    <w:rsid w:val="0039009E"/>
    <w:rsid w:val="003C401B"/>
    <w:rsid w:val="00473A1D"/>
    <w:rsid w:val="00474E91"/>
    <w:rsid w:val="00484430"/>
    <w:rsid w:val="0048776B"/>
    <w:rsid w:val="00493FEC"/>
    <w:rsid w:val="0049420B"/>
    <w:rsid w:val="004A4220"/>
    <w:rsid w:val="004B3557"/>
    <w:rsid w:val="004E4A6E"/>
    <w:rsid w:val="0050197A"/>
    <w:rsid w:val="00527509"/>
    <w:rsid w:val="00532FC3"/>
    <w:rsid w:val="00550CC9"/>
    <w:rsid w:val="005716B5"/>
    <w:rsid w:val="005C3EF2"/>
    <w:rsid w:val="005D04AD"/>
    <w:rsid w:val="005D170E"/>
    <w:rsid w:val="00623B14"/>
    <w:rsid w:val="006350D4"/>
    <w:rsid w:val="0065068B"/>
    <w:rsid w:val="00666F9D"/>
    <w:rsid w:val="006B6A16"/>
    <w:rsid w:val="006C18BD"/>
    <w:rsid w:val="006E7B7E"/>
    <w:rsid w:val="00727CE9"/>
    <w:rsid w:val="00744BE0"/>
    <w:rsid w:val="0077676F"/>
    <w:rsid w:val="007B050B"/>
    <w:rsid w:val="007B7DDD"/>
    <w:rsid w:val="007C40CE"/>
    <w:rsid w:val="007C6174"/>
    <w:rsid w:val="007C705C"/>
    <w:rsid w:val="0084229A"/>
    <w:rsid w:val="008543CB"/>
    <w:rsid w:val="008618FE"/>
    <w:rsid w:val="00887778"/>
    <w:rsid w:val="008929E6"/>
    <w:rsid w:val="009046F6"/>
    <w:rsid w:val="009160D4"/>
    <w:rsid w:val="00946FDB"/>
    <w:rsid w:val="00A132A7"/>
    <w:rsid w:val="00A44A4E"/>
    <w:rsid w:val="00A96833"/>
    <w:rsid w:val="00B34EEC"/>
    <w:rsid w:val="00B80777"/>
    <w:rsid w:val="00B9240C"/>
    <w:rsid w:val="00B93D76"/>
    <w:rsid w:val="00BA5DE8"/>
    <w:rsid w:val="00BF3244"/>
    <w:rsid w:val="00C246CB"/>
    <w:rsid w:val="00C6465B"/>
    <w:rsid w:val="00C90394"/>
    <w:rsid w:val="00D05D5C"/>
    <w:rsid w:val="00D23E40"/>
    <w:rsid w:val="00D24EB4"/>
    <w:rsid w:val="00D334DC"/>
    <w:rsid w:val="00D3543D"/>
    <w:rsid w:val="00D62382"/>
    <w:rsid w:val="00D9271B"/>
    <w:rsid w:val="00D96554"/>
    <w:rsid w:val="00DD06F2"/>
    <w:rsid w:val="00E32830"/>
    <w:rsid w:val="00E37C40"/>
    <w:rsid w:val="00E61C4B"/>
    <w:rsid w:val="00E825A1"/>
    <w:rsid w:val="00E9234E"/>
    <w:rsid w:val="00EA5DA1"/>
    <w:rsid w:val="00EB749D"/>
    <w:rsid w:val="00ED35E1"/>
    <w:rsid w:val="00EE4FF7"/>
    <w:rsid w:val="00F0540D"/>
    <w:rsid w:val="00F25E20"/>
    <w:rsid w:val="00F72A0C"/>
    <w:rsid w:val="00FE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777"/>
    <w:rPr>
      <w:shadow/>
      <w:sz w:val="28"/>
    </w:rPr>
  </w:style>
  <w:style w:type="paragraph" w:styleId="1">
    <w:name w:val="heading 1"/>
    <w:basedOn w:val="a"/>
    <w:next w:val="a"/>
    <w:link w:val="10"/>
    <w:uiPriority w:val="99"/>
    <w:qFormat/>
    <w:rsid w:val="002B188D"/>
    <w:pPr>
      <w:keepNext/>
      <w:outlineLvl w:val="0"/>
    </w:pPr>
    <w:rPr>
      <w:shadow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FF7"/>
    <w:pPr>
      <w:ind w:left="720"/>
      <w:contextualSpacing/>
    </w:pPr>
  </w:style>
  <w:style w:type="character" w:styleId="a4">
    <w:name w:val="Hyperlink"/>
    <w:basedOn w:val="a0"/>
    <w:rsid w:val="00123EB5"/>
    <w:rPr>
      <w:strike w:val="0"/>
      <w:dstrike w:val="0"/>
      <w:color w:val="0000FF"/>
      <w:u w:val="none"/>
      <w:effect w:val="none"/>
    </w:rPr>
  </w:style>
  <w:style w:type="character" w:styleId="a5">
    <w:name w:val="Strong"/>
    <w:basedOn w:val="a0"/>
    <w:qFormat/>
    <w:rsid w:val="00123EB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2B188D"/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968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6833"/>
    <w:rPr>
      <w:rFonts w:ascii="Tahoma" w:hAnsi="Tahoma" w:cs="Tahoma"/>
      <w:shadow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Users\HP-02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1801405445780032E-2"/>
          <c:y val="0.12459403182724564"/>
          <c:w val="0.88099169843521941"/>
          <c:h val="0.58670953046748431"/>
        </c:manualLayout>
      </c:layout>
      <c:scatterChart>
        <c:scatterStyle val="lineMarker"/>
        <c:ser>
          <c:idx val="0"/>
          <c:order val="0"/>
          <c:spPr>
            <a:ln w="28575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Лист1!$A$2:$A$8</c:f>
              <c:numCache>
                <c:formatCode>General</c:formatCode>
                <c:ptCount val="7"/>
                <c:pt idx="0">
                  <c:v>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60</c:v>
                </c:pt>
                <c:pt idx="5">
                  <c:v>80</c:v>
                </c:pt>
                <c:pt idx="6">
                  <c:v>100</c:v>
                </c:pt>
              </c:numCache>
            </c:numRef>
          </c:xVal>
          <c:yVal>
            <c:numRef>
              <c:f>Лист1!$B$2:$B$8</c:f>
              <c:numCache>
                <c:formatCode>General</c:formatCode>
                <c:ptCount val="7"/>
                <c:pt idx="0">
                  <c:v>9.8000000000000007</c:v>
                </c:pt>
                <c:pt idx="1">
                  <c:v>9</c:v>
                </c:pt>
                <c:pt idx="2">
                  <c:v>8.7000000000000011</c:v>
                </c:pt>
                <c:pt idx="3">
                  <c:v>8.5</c:v>
                </c:pt>
                <c:pt idx="4">
                  <c:v>8.5</c:v>
                </c:pt>
                <c:pt idx="5">
                  <c:v>8.3000000000000007</c:v>
                </c:pt>
                <c:pt idx="6">
                  <c:v>8</c:v>
                </c:pt>
              </c:numCache>
            </c:numRef>
          </c:yVal>
          <c:smooth val="1"/>
        </c:ser>
        <c:axId val="50114560"/>
        <c:axId val="50116480"/>
      </c:scatterChart>
      <c:valAx>
        <c:axId val="50114560"/>
        <c:scaling>
          <c:orientation val="minMax"/>
          <c:max val="100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sz="1400" b="0" i="0" baseline="0">
                    <a:latin typeface="Times New Roman" pitchFamily="18" charset="0"/>
                  </a:rPr>
                  <a:t>Концентация </a:t>
                </a:r>
                <a:r>
                  <a:rPr lang="en-US" sz="1400" b="0" i="1" baseline="0">
                    <a:latin typeface="Times New Roman" pitchFamily="18" charset="0"/>
                  </a:rPr>
                  <a:t>Ho</a:t>
                </a:r>
                <a:r>
                  <a:rPr lang="en-US" sz="1400" b="0" i="0" baseline="0">
                    <a:latin typeface="Times New Roman" pitchFamily="18" charset="0"/>
                  </a:rPr>
                  <a:t>, %</a:t>
                </a:r>
                <a:endParaRPr lang="ru-RU" sz="1400" b="0" i="0" baseline="0">
                  <a:latin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5011962470894342"/>
              <c:y val="0.88836210543966965"/>
            </c:manualLayout>
          </c:layout>
        </c:title>
        <c:numFmt formatCode="General" sourceLinked="1"/>
        <c:majorTickMark val="in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0116480"/>
        <c:crosses val="autoZero"/>
        <c:crossBetween val="midCat"/>
        <c:majorUnit val="20"/>
      </c:valAx>
      <c:valAx>
        <c:axId val="50116480"/>
        <c:scaling>
          <c:orientation val="minMax"/>
          <c:max val="11"/>
          <c:min val="7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 sz="1400" b="0" i="1" baseline="0">
                    <a:latin typeface="Times New Roman" pitchFamily="18" charset="0"/>
                  </a:rPr>
                  <a:t>a</a:t>
                </a:r>
                <a:r>
                  <a:rPr lang="en-US" sz="1400" b="0" i="0" baseline="0">
                    <a:latin typeface="Times New Roman" pitchFamily="18" charset="0"/>
                    <a:cs typeface="Times New Roman"/>
                  </a:rPr>
                  <a:t>∙10</a:t>
                </a:r>
                <a:r>
                  <a:rPr lang="en-US" sz="1400" b="0" i="0" baseline="30000">
                    <a:latin typeface="Times New Roman" pitchFamily="18" charset="0"/>
                    <a:cs typeface="Times New Roman"/>
                  </a:rPr>
                  <a:t>6</a:t>
                </a:r>
                <a:r>
                  <a:rPr lang="en-US" sz="1400" b="0" i="0" baseline="0">
                    <a:latin typeface="Times New Roman" pitchFamily="18" charset="0"/>
                    <a:cs typeface="Times New Roman"/>
                  </a:rPr>
                  <a:t>, </a:t>
                </a:r>
                <a:r>
                  <a:rPr lang="ru-RU" sz="1400" b="0" i="0" baseline="0">
                    <a:latin typeface="Times New Roman" pitchFamily="18" charset="0"/>
                    <a:cs typeface="Times New Roman"/>
                  </a:rPr>
                  <a:t>м</a:t>
                </a:r>
                <a:r>
                  <a:rPr lang="en-US" sz="1400" b="0" i="0" baseline="30000">
                    <a:latin typeface="Times New Roman" pitchFamily="18" charset="0"/>
                    <a:cs typeface="Times New Roman"/>
                  </a:rPr>
                  <a:t>2</a:t>
                </a:r>
                <a:r>
                  <a:rPr lang="en-US" sz="1400" b="0" i="0" baseline="0">
                    <a:latin typeface="Times New Roman" pitchFamily="18" charset="0"/>
                    <a:cs typeface="Times New Roman"/>
                  </a:rPr>
                  <a:t>/</a:t>
                </a:r>
                <a:r>
                  <a:rPr lang="ru-RU" sz="1400" b="0" i="0" baseline="0">
                    <a:latin typeface="Times New Roman" pitchFamily="18" charset="0"/>
                    <a:cs typeface="Times New Roman"/>
                  </a:rPr>
                  <a:t>с</a:t>
                </a:r>
                <a:endParaRPr lang="ru-RU" sz="1400" b="0" i="0" baseline="0">
                  <a:latin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169836758021434E-2"/>
              <c:y val="2.3316205264769991E-3"/>
            </c:manualLayout>
          </c:layout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0114560"/>
        <c:crosses val="autoZero"/>
        <c:crossBetween val="midCat"/>
        <c:majorUnit val="1"/>
      </c:valAx>
    </c:plotArea>
    <c:plotVisOnly val="1"/>
  </c:chart>
  <c:spPr>
    <a:noFill/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0.04358</cdr:x>
      <cdr:y>0.8213</cdr:y>
    </cdr:from>
    <cdr:to>
      <cdr:x>0.1408</cdr:x>
      <cdr:y>0.97737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6856" y="2115851"/>
          <a:ext cx="461513" cy="4020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400" i="1" baseline="0">
              <a:latin typeface="Times New Roman" pitchFamily="18" charset="0"/>
            </a:rPr>
            <a:t>Y</a:t>
          </a:r>
          <a:endParaRPr lang="ru-RU" sz="1400" i="1" baseline="0">
            <a:latin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0.93132</cdr:x>
      <cdr:y>0.8213</cdr:y>
    </cdr:from>
    <cdr:to>
      <cdr:x>0.98827</cdr:x>
      <cdr:y>0.97737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420925" y="2115851"/>
          <a:ext cx="270345" cy="4020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rIns="0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400" i="1" baseline="0">
              <a:latin typeface="Times New Roman" pitchFamily="18" charset="0"/>
            </a:rPr>
            <a:t>Ho</a:t>
          </a:r>
          <a:endParaRPr lang="ru-RU" sz="1400" i="1" baseline="0">
            <a:latin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4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Корпус-1</cp:lastModifiedBy>
  <cp:revision>59</cp:revision>
  <dcterms:created xsi:type="dcterms:W3CDTF">2014-06-05T15:38:00Z</dcterms:created>
  <dcterms:modified xsi:type="dcterms:W3CDTF">2014-07-31T04:25:00Z</dcterms:modified>
</cp:coreProperties>
</file>