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80" w:rsidRPr="00C84080" w:rsidRDefault="00C84080" w:rsidP="00C84080">
      <w:pPr>
        <w:pStyle w:val="2"/>
        <w:spacing w:after="0" w:line="240" w:lineRule="auto"/>
        <w:jc w:val="center"/>
        <w:rPr>
          <w:b/>
          <w:color w:val="000000" w:themeColor="text1"/>
          <w:sz w:val="28"/>
          <w:szCs w:val="28"/>
          <w:lang w:val="en-US"/>
        </w:rPr>
      </w:pPr>
      <w:r w:rsidRPr="00C84080">
        <w:rPr>
          <w:b/>
          <w:color w:val="000000" w:themeColor="text1"/>
          <w:sz w:val="28"/>
          <w:szCs w:val="28"/>
          <w:lang w:val="en-US"/>
        </w:rPr>
        <w:t>THERMAL DIFFUSIVITY AND HEAT CAPACITY MEASUREMENTS OF SANDSTONE AT HIGH TEMPERATURES USING LASER FLASH AND DSC METHODS</w:t>
      </w:r>
    </w:p>
    <w:p w:rsidR="00C84080" w:rsidRPr="00C84080" w:rsidRDefault="00C84080" w:rsidP="00C840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Abdulagatova</w:t>
      </w:r>
      <w:proofErr w:type="spellEnd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Z.Z.</w:t>
      </w:r>
      <w:proofErr w:type="gramStart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proofErr w:type="gramEnd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40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Abdulagatov</w:t>
      </w:r>
      <w:proofErr w:type="spellEnd"/>
      <w:r w:rsidRPr="00C840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I.M.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1,2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Kallaev</w:t>
      </w:r>
      <w:proofErr w:type="spellEnd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S.N.,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Bakmaev</w:t>
      </w:r>
      <w:proofErr w:type="spellEnd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A.G.,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proofErr w:type="spellStart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Gamage</w:t>
      </w:r>
      <w:proofErr w:type="spellEnd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R.P.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Ferzilaev</w:t>
      </w:r>
      <w:proofErr w:type="spellEnd"/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R.M.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4080" w:rsidRPr="00C84080" w:rsidRDefault="00C84080" w:rsidP="00C84080">
      <w:pPr>
        <w:spacing w:after="0" w:line="240" w:lineRule="auto"/>
        <w:jc w:val="center"/>
        <w:rPr>
          <w:rStyle w:val="eudoraheader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Institute of Physics of the Dagestan Scientific Center of the Russian Academy of Sciences, Russia, Makhachkala, 367003</w:t>
      </w:r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</w:t>
      </w:r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M. </w:t>
      </w:r>
      <w:proofErr w:type="spellStart"/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Yaragskogo</w:t>
      </w:r>
      <w:proofErr w:type="spellEnd"/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Str. 94. </w:t>
      </w:r>
      <w:r w:rsidRPr="00C84080">
        <w:rPr>
          <w:rFonts w:ascii="Times New Roman" w:hAnsi="Times New Roman" w:cs="Times New Roman"/>
          <w:i/>
          <w:iCs/>
          <w:sz w:val="28"/>
          <w:szCs w:val="28"/>
        </w:rPr>
        <w:t xml:space="preserve">E-mail: </w:t>
      </w:r>
      <w:hyperlink r:id="rId5" w:history="1">
        <w:r w:rsidRPr="00C84080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abdulagatova@yandex.ru</w:t>
        </w:r>
      </w:hyperlink>
    </w:p>
    <w:p w:rsidR="00C84080" w:rsidRPr="00C84080" w:rsidRDefault="00C84080" w:rsidP="00C84080">
      <w:pPr>
        <w:spacing w:after="0" w:line="240" w:lineRule="auto"/>
        <w:jc w:val="center"/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Present address: Applied Chemicals and Materials Division, National Institute of Standards and Technology, 325 Broadway, Boulder, Colorado 80305-3337, USA. </w:t>
      </w:r>
      <w:r w:rsidRPr="00C84080">
        <w:rPr>
          <w:rFonts w:ascii="Times New Roman" w:hAnsi="Times New Roman" w:cs="Times New Roman"/>
          <w:i/>
          <w:iCs/>
          <w:sz w:val="28"/>
          <w:szCs w:val="28"/>
        </w:rPr>
        <w:t xml:space="preserve">E-mail: </w:t>
      </w:r>
      <w:hyperlink r:id="rId6" w:history="1">
        <w:r w:rsidRPr="00C84080">
          <w:rPr>
            <w:rStyle w:val="a5"/>
            <w:rFonts w:ascii="Times New Roman" w:hAnsi="Times New Roman" w:cs="Times New Roman"/>
            <w:i/>
            <w:sz w:val="28"/>
            <w:szCs w:val="28"/>
          </w:rPr>
          <w:t>ilmutdin@boulder.nist.gov</w:t>
        </w:r>
      </w:hyperlink>
      <w:r w:rsidRPr="00C84080"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84080" w:rsidRPr="00C84080" w:rsidRDefault="00C84080" w:rsidP="00C8408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Department of Civil Engineering, </w:t>
      </w:r>
      <w:proofErr w:type="spellStart"/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Monash</w:t>
      </w:r>
      <w:proofErr w:type="spellEnd"/>
      <w:r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University, VIC 3800, Australia</w:t>
      </w:r>
    </w:p>
    <w:p w:rsidR="00C84080" w:rsidRPr="00C84080" w:rsidRDefault="00C84080" w:rsidP="00C84080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:rsidR="00772054" w:rsidRPr="00C84080" w:rsidRDefault="00717528" w:rsidP="00C840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The well – known 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contact-free </w:t>
      </w:r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flash method and DSC were used for measurement of the thermal diffusivity and heat capacity of natural sandstone sample from Australian. The experimental procedure has been conducted in micro-flash apparatus (model LFA 457 </w:t>
      </w:r>
      <w:proofErr w:type="spellStart"/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MicroFlash</w:t>
      </w:r>
      <w:proofErr w:type="spellEnd"/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NETZSCH) and DSC (model 204 F1 Phoenix). The thermal diffusivity measurements has been made </w:t>
      </w:r>
      <w:r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over the temperature range from (302.9 to 774.25) K.</w:t>
      </w:r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Isobaric heat capacity of the same sample have been measured in the temperature range from (308 to 763) K.</w:t>
      </w:r>
      <w:r w:rsidR="00994F7B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expanded uncertainty of the thermal diffusivity and heat capacity measurements at the 95 % confidence level with a coverage factor of </w:t>
      </w:r>
      <w:r w:rsidR="00994F7B"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k </w:t>
      </w:r>
      <w:r w:rsidR="00994F7B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2 are estimated to be 3 % and 1 %, respectively. </w:t>
      </w:r>
      <w:r w:rsidR="00994F7B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A good agreement is found between the experimental results obtained and the thermal diffusivity predicted </w:t>
      </w:r>
      <w:bookmarkStart w:id="0" w:name="_GoBack"/>
      <w:bookmarkEnd w:id="0"/>
      <w:r w:rsidR="00994F7B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from various theoretical and empirical models. Theoretically based correlations were adopted to represent measured thermal diffusivities and heat capacities in the high and low temperature limits (asymptotic). </w:t>
      </w:r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The wide ranged correlation equations for thermal diffusivity</w:t>
      </w:r>
      <w:r w:rsidR="00D417DE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and heat capacity of sandstone have been developed. The </w:t>
      </w:r>
      <w:r w:rsidR="00994F7B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measured thermal diffusivities and heat capacities </w:t>
      </w:r>
      <w:r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are well represented by theoretically based equations containing a few parameters. The correlations are applicable for the whole measured temperature range from room temperature to 775 K.</w:t>
      </w:r>
      <w:r w:rsidR="00D417DE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The measured values of the thermal diffusivity and heat capacity together with density data were used to calculated thermal conductivity of the sandstone sample</w:t>
      </w:r>
      <w:proofErr w:type="gramStart"/>
      <w:r w:rsidR="00D417DE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D417DE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D417DE" w:rsidRPr="00C84080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7.25pt" o:ole="">
            <v:imagedata r:id="rId7" o:title=""/>
          </v:shape>
          <o:OLEObject Type="Embed" ProgID="Equation.3" ShapeID="_x0000_i1025" DrawAspect="Content" ObjectID="_1463432656" r:id="rId8"/>
        </w:object>
      </w:r>
      <w:r w:rsidR="00D417DE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A rapid decrease of the measured thermal diffusivities in the low temperature range was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observed, as expected by theory and in agreement with previous studies for rock materials and single crystals. At high temperatures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thermal diffusivity is trend to constant (small rate of temperature changes has been observed), </w:t>
      </w:r>
      <w:r w:rsidR="00772054"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i.e.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, the saturation state is reached.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flat trend (saturation) in </w:t>
      </w:r>
      <w:r w:rsidR="00772054" w:rsidRPr="00C84080">
        <w:rPr>
          <w:rFonts w:ascii="Times New Roman" w:hAnsi="Times New Roman" w:cs="Times New Roman"/>
          <w:i/>
          <w:color w:val="000000" w:themeColor="text1"/>
          <w:position w:val="-10"/>
          <w:sz w:val="28"/>
          <w:szCs w:val="28"/>
        </w:rPr>
        <w:object w:dxaOrig="499" w:dyaOrig="340">
          <v:shape id="_x0000_i1026" type="#_x0000_t75" style="width:24.75pt;height:17.25pt" o:ole="">
            <v:imagedata r:id="rId9" o:title=""/>
          </v:shape>
          <o:OLEObject Type="Embed" ProgID="Equation.3" ShapeID="_x0000_i1026" DrawAspect="Content" ObjectID="_1463432657" r:id="rId10"/>
        </w:objec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high temperatures has been observed. 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The temperature coefficient of thermal diffusivity </w:t>
      </w:r>
      <w:r w:rsidR="00772054" w:rsidRPr="00C84080">
        <w:rPr>
          <w:rFonts w:ascii="Times New Roman" w:hAnsi="Times New Roman" w:cs="Times New Roman"/>
          <w:i/>
          <w:color w:val="000000" w:themeColor="text1"/>
          <w:position w:val="-10"/>
          <w:sz w:val="28"/>
          <w:szCs w:val="28"/>
        </w:rPr>
        <w:object w:dxaOrig="1120" w:dyaOrig="340">
          <v:shape id="_x0000_i1027" type="#_x0000_t75" style="width:56.25pt;height:17.25pt" o:ole="">
            <v:imagedata r:id="rId11" o:title=""/>
          </v:shape>
          <o:OLEObject Type="Embed" ProgID="Equation.3" ShapeID="_x0000_i1027" DrawAspect="Content" ObjectID="_1463432658" r:id="rId12"/>
        </w:object>
      </w:r>
      <w:r w:rsidR="00772054" w:rsidRPr="00C840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changes from -0.0044 K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-1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to -0.0013K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-1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while</w:t>
      </w:r>
      <w:r w:rsidR="00772054" w:rsidRPr="00C84080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500" w:dyaOrig="340">
          <v:shape id="_x0000_i1028" type="#_x0000_t75" style="width:75pt;height:17.25pt" o:ole="">
            <v:imagedata r:id="rId13" o:title=""/>
          </v:shape>
          <o:OLEObject Type="Embed" ProgID="Equation.3" ShapeID="_x0000_i1028" DrawAspect="Content" ObjectID="_1463432659" r:id="rId14"/>
        </w:objec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>changes from -0.00221 K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-0.00073 K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72054" w:rsidRPr="00C840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In the experimental temperature range from (303 to 774) K the thermal diffusivity of the sandstone decreases by 40 %. 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examined the applicability various theoretically based models 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and their accuracy to </w:t>
      </w:r>
      <w:r w:rsidR="00994F7B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represent and 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predict the thermal diffusivity </w:t>
      </w:r>
      <w:r w:rsidR="00994F7B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heat capacity </w:t>
      </w:r>
      <w:r w:rsidR="00772054" w:rsidRPr="00C8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sandstone. </w:t>
      </w:r>
    </w:p>
    <w:p w:rsidR="009102F2" w:rsidRPr="00C84080" w:rsidRDefault="009102F2" w:rsidP="00C8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2F2" w:rsidRPr="00C84080" w:rsidSect="00C8408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7E"/>
    <w:rsid w:val="00035F7E"/>
    <w:rsid w:val="000A227B"/>
    <w:rsid w:val="00266AA2"/>
    <w:rsid w:val="00286C1B"/>
    <w:rsid w:val="004376E9"/>
    <w:rsid w:val="004C26CF"/>
    <w:rsid w:val="00603CC9"/>
    <w:rsid w:val="0067478F"/>
    <w:rsid w:val="006E1559"/>
    <w:rsid w:val="00717528"/>
    <w:rsid w:val="00727E08"/>
    <w:rsid w:val="00772054"/>
    <w:rsid w:val="007A0D69"/>
    <w:rsid w:val="009102F2"/>
    <w:rsid w:val="00994F7B"/>
    <w:rsid w:val="00A01601"/>
    <w:rsid w:val="00C008B4"/>
    <w:rsid w:val="00C84080"/>
    <w:rsid w:val="00CF6223"/>
    <w:rsid w:val="00D1500C"/>
    <w:rsid w:val="00D417DE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F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17528"/>
    <w:rPr>
      <w:color w:val="0000FF"/>
      <w:u w:val="single"/>
    </w:rPr>
  </w:style>
  <w:style w:type="paragraph" w:styleId="a6">
    <w:name w:val="Body Text"/>
    <w:basedOn w:val="a"/>
    <w:link w:val="a7"/>
    <w:rsid w:val="007175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71752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2"/>
    <w:basedOn w:val="a"/>
    <w:link w:val="20"/>
    <w:rsid w:val="007175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7175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udoraheader">
    <w:name w:val="eudoraheader"/>
    <w:basedOn w:val="a0"/>
    <w:rsid w:val="00717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F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17528"/>
    <w:rPr>
      <w:color w:val="0000FF"/>
      <w:u w:val="single"/>
    </w:rPr>
  </w:style>
  <w:style w:type="paragraph" w:styleId="a6">
    <w:name w:val="Body Text"/>
    <w:basedOn w:val="a"/>
    <w:link w:val="a7"/>
    <w:rsid w:val="007175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71752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2"/>
    <w:basedOn w:val="a"/>
    <w:link w:val="20"/>
    <w:rsid w:val="007175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7175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udoraheader">
    <w:name w:val="eudoraheader"/>
    <w:basedOn w:val="a0"/>
    <w:rsid w:val="0071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lmutdin@boulder.nist.gov" TargetMode="External"/><Relationship Id="rId11" Type="http://schemas.openxmlformats.org/officeDocument/2006/relationships/image" Target="media/image3.wmf"/><Relationship Id="rId5" Type="http://schemas.openxmlformats.org/officeDocument/2006/relationships/hyperlink" Target="mailto:abdulagatova@yandex.ru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Rustam</cp:lastModifiedBy>
  <cp:revision>3</cp:revision>
  <dcterms:created xsi:type="dcterms:W3CDTF">2014-05-07T19:11:00Z</dcterms:created>
  <dcterms:modified xsi:type="dcterms:W3CDTF">2014-06-04T20:18:00Z</dcterms:modified>
</cp:coreProperties>
</file>