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5C" w:rsidRPr="0017655C" w:rsidRDefault="0017655C" w:rsidP="0017655C">
      <w:pPr>
        <w:spacing w:after="0" w:line="25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655C">
        <w:rPr>
          <w:rFonts w:ascii="Times New Roman" w:hAnsi="Times New Roman" w:cs="Times New Roman"/>
          <w:b/>
          <w:sz w:val="24"/>
          <w:szCs w:val="24"/>
        </w:rPr>
        <w:t xml:space="preserve">ВЫСОКОВОЛЬТНАЯ ЭКСПЕРИМЕНТАЛЬНАЯ УСТАВНОВКА </w:t>
      </w:r>
    </w:p>
    <w:p w:rsidR="0020446D" w:rsidRPr="0017655C" w:rsidRDefault="005C62A0" w:rsidP="0017655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Труднев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Е.Н., Гайсин Ф.М.</w:t>
      </w:r>
    </w:p>
    <w:p w:rsidR="0020446D" w:rsidRPr="0017655C" w:rsidRDefault="0020446D" w:rsidP="0017655C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 xml:space="preserve">Казанский национальный исследовательский технический университет </w:t>
      </w:r>
      <w:proofErr w:type="spellStart"/>
      <w:r w:rsidRPr="0017655C">
        <w:rPr>
          <w:rFonts w:ascii="Times New Roman" w:hAnsi="Times New Roman" w:cs="Times New Roman"/>
          <w:sz w:val="24"/>
          <w:szCs w:val="24"/>
        </w:rPr>
        <w:t>им.А.Н.Туполева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 xml:space="preserve"> - КАИ,</w:t>
      </w:r>
    </w:p>
    <w:p w:rsidR="0020446D" w:rsidRPr="0017655C" w:rsidRDefault="003E797F" w:rsidP="0017655C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7655C">
        <w:rPr>
          <w:rFonts w:ascii="Times New Roman" w:hAnsi="Times New Roman" w:cs="Times New Roman"/>
          <w:sz w:val="24"/>
          <w:szCs w:val="24"/>
          <w:lang w:val="en-US"/>
        </w:rPr>
        <w:t>almaz</w:t>
      </w:r>
      <w:proofErr w:type="spellEnd"/>
      <w:r w:rsidRPr="0017655C">
        <w:rPr>
          <w:rFonts w:ascii="Times New Roman" w:hAnsi="Times New Roman" w:cs="Times New Roman"/>
          <w:sz w:val="24"/>
          <w:szCs w:val="24"/>
        </w:rPr>
        <w:t>87@</w:t>
      </w:r>
      <w:r w:rsidRPr="0017655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65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765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E797F" w:rsidRPr="0017655C" w:rsidRDefault="003E797F" w:rsidP="0017655C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7655C" w:rsidRPr="0017655C" w:rsidRDefault="0017655C" w:rsidP="0017655C">
      <w:pPr>
        <w:spacing w:line="25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 xml:space="preserve">Общий вид экспериментальной установки </w:t>
      </w:r>
      <w:proofErr w:type="gramStart"/>
      <w:r w:rsidRPr="0017655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7655C">
        <w:rPr>
          <w:rFonts w:ascii="Times New Roman" w:hAnsi="Times New Roman" w:cs="Times New Roman"/>
          <w:sz w:val="24"/>
          <w:szCs w:val="24"/>
        </w:rPr>
        <w:t xml:space="preserve"> на рисунке 2.3. Принципиальная схема установки приведена на рис. 2.4. Система электрического питания высоковольтной установки предназначена для питания разряда, измерительной аппаратуры и вспомогательного оборудования. Источник питания разряда обеспечивает регулирование и преобразование сетевого напряжения. Он состоит из низковольтного и высоковольтного регулируемых блоков, обеспечивая указанные диапазоны изменений напряжения и тока. Источник питания обеспечивает регулируемое постоянное напряжение до 4000</w:t>
      </w:r>
      <w:proofErr w:type="gramStart"/>
      <w:r w:rsidRPr="0017655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7655C">
        <w:rPr>
          <w:rFonts w:ascii="Times New Roman" w:hAnsi="Times New Roman" w:cs="Times New Roman"/>
          <w:sz w:val="24"/>
          <w:szCs w:val="24"/>
        </w:rPr>
        <w:t xml:space="preserve"> при номинальном токе до 10 А. Трехфазное сетевое напряжение через предохранители и рубильник подается на регулятор напряжения </w:t>
      </w:r>
      <w:r w:rsidRPr="0017655C">
        <w:rPr>
          <w:rFonts w:ascii="Times New Roman" w:hAnsi="Times New Roman" w:cs="Times New Roman"/>
          <w:i/>
          <w:sz w:val="24"/>
          <w:szCs w:val="24"/>
        </w:rPr>
        <w:t>1</w:t>
      </w:r>
      <w:r w:rsidRPr="0017655C">
        <w:rPr>
          <w:rFonts w:ascii="Times New Roman" w:hAnsi="Times New Roman" w:cs="Times New Roman"/>
          <w:sz w:val="24"/>
          <w:szCs w:val="24"/>
        </w:rPr>
        <w:t xml:space="preserve"> типа ИР 60 УХЛ4, который позволяет регулировать трехфазное напряжение от 0 до 660 В. После регулятора напряжения питание подается на повышающий трехфазный трансформатор </w:t>
      </w:r>
      <w:r w:rsidRPr="0017655C">
        <w:rPr>
          <w:rFonts w:ascii="Times New Roman" w:hAnsi="Times New Roman" w:cs="Times New Roman"/>
          <w:i/>
          <w:sz w:val="24"/>
          <w:szCs w:val="24"/>
        </w:rPr>
        <w:t>2</w:t>
      </w:r>
      <w:r w:rsidRPr="0017655C">
        <w:rPr>
          <w:rFonts w:ascii="Times New Roman" w:hAnsi="Times New Roman" w:cs="Times New Roman"/>
          <w:sz w:val="24"/>
          <w:szCs w:val="24"/>
        </w:rPr>
        <w:t xml:space="preserve">. На выходе с трансформатора можно получить напряжение до 4000 В. Переменное напряжение подается на выпрямитель </w:t>
      </w:r>
      <w:r w:rsidRPr="0017655C">
        <w:rPr>
          <w:rFonts w:ascii="Times New Roman" w:hAnsi="Times New Roman" w:cs="Times New Roman"/>
          <w:i/>
          <w:sz w:val="24"/>
          <w:szCs w:val="24"/>
        </w:rPr>
        <w:t>3</w:t>
      </w:r>
      <w:r w:rsidRPr="0017655C">
        <w:rPr>
          <w:rFonts w:ascii="Times New Roman" w:hAnsi="Times New Roman" w:cs="Times New Roman"/>
          <w:sz w:val="24"/>
          <w:szCs w:val="24"/>
        </w:rPr>
        <w:t>, собранный по схеме Ларионова из вентилей типа ВЛ-200.Амплитуда пульсации выпрямительного напряжения сглаживается</w:t>
      </w:r>
      <w:r w:rsidRPr="0017655C">
        <w:rPr>
          <w:rFonts w:ascii="Times New Roman" w:hAnsi="Times New Roman" w:cs="Times New Roman"/>
          <w:sz w:val="24"/>
          <w:szCs w:val="24"/>
        </w:rPr>
        <w:br/>
        <w:t xml:space="preserve">П-образным LC фильтром </w:t>
      </w:r>
      <w:r w:rsidRPr="0017655C">
        <w:rPr>
          <w:rFonts w:ascii="Times New Roman" w:hAnsi="Times New Roman" w:cs="Times New Roman"/>
          <w:i/>
          <w:sz w:val="24"/>
          <w:szCs w:val="24"/>
        </w:rPr>
        <w:t>4</w:t>
      </w:r>
      <w:r w:rsidRPr="0017655C">
        <w:rPr>
          <w:rFonts w:ascii="Times New Roman" w:hAnsi="Times New Roman" w:cs="Times New Roman"/>
          <w:sz w:val="24"/>
          <w:szCs w:val="24"/>
        </w:rPr>
        <w:t xml:space="preserve"> (</w:t>
      </w:r>
      <w:r w:rsidRPr="0017655C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1765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7655C">
        <w:rPr>
          <w:rFonts w:ascii="Times New Roman" w:hAnsi="Times New Roman" w:cs="Times New Roman"/>
          <w:sz w:val="24"/>
          <w:szCs w:val="24"/>
        </w:rPr>
        <w:t xml:space="preserve">= </w:t>
      </w:r>
      <w:r w:rsidRPr="0017655C">
        <w:rPr>
          <w:rFonts w:ascii="Times New Roman" w:hAnsi="Times New Roman" w:cs="Times New Roman"/>
          <w:i/>
          <w:sz w:val="24"/>
          <w:szCs w:val="24"/>
        </w:rPr>
        <w:t>С</w:t>
      </w:r>
      <w:r w:rsidRPr="0017655C">
        <w:rPr>
          <w:rFonts w:ascii="Times New Roman" w:hAnsi="Times New Roman" w:cs="Times New Roman"/>
          <w:sz w:val="24"/>
          <w:szCs w:val="24"/>
        </w:rPr>
        <w:t xml:space="preserve">2= 100 мкФ, </w:t>
      </w:r>
      <w:r w:rsidRPr="0017655C">
        <w:rPr>
          <w:rFonts w:ascii="Times New Roman" w:hAnsi="Times New Roman" w:cs="Times New Roman"/>
          <w:i/>
          <w:sz w:val="24"/>
          <w:szCs w:val="24"/>
        </w:rPr>
        <w:t>L</w:t>
      </w:r>
      <w:r w:rsidRPr="0017655C">
        <w:rPr>
          <w:rFonts w:ascii="Times New Roman" w:hAnsi="Times New Roman" w:cs="Times New Roman"/>
          <w:sz w:val="24"/>
          <w:szCs w:val="24"/>
        </w:rPr>
        <w:t xml:space="preserve"> = 50·10</w:t>
      </w:r>
      <w:r w:rsidRPr="0017655C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7655C">
        <w:rPr>
          <w:rFonts w:ascii="Times New Roman" w:hAnsi="Times New Roman" w:cs="Times New Roman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5" o:title=""/>
          </v:shape>
          <o:OLEObject Type="Embed" ProgID="Equation.3" ShapeID="_x0000_i1025" DrawAspect="Content" ObjectID="_1409414019" r:id="rId6"/>
        </w:object>
      </w:r>
      <w:r w:rsidRPr="0017655C">
        <w:rPr>
          <w:rFonts w:ascii="Times New Roman" w:hAnsi="Times New Roman" w:cs="Times New Roman"/>
          <w:sz w:val="24"/>
          <w:szCs w:val="24"/>
        </w:rPr>
        <w:t xml:space="preserve">Гн) уменьшается от 6 до 1% от выпрямленного. Далее для регулирования напряжения и ограничения тока в случаях короткого замыкания используются балластные сопротивления </w:t>
      </w:r>
      <w:r w:rsidRPr="0017655C">
        <w:rPr>
          <w:rFonts w:ascii="Times New Roman" w:hAnsi="Times New Roman" w:cs="Times New Roman"/>
          <w:i/>
          <w:sz w:val="24"/>
          <w:szCs w:val="24"/>
        </w:rPr>
        <w:t>5</w:t>
      </w:r>
      <w:r w:rsidRPr="0017655C">
        <w:rPr>
          <w:rFonts w:ascii="Times New Roman" w:hAnsi="Times New Roman" w:cs="Times New Roman"/>
          <w:sz w:val="24"/>
          <w:szCs w:val="24"/>
        </w:rPr>
        <w:t>. Блок этих сопротивлений позволяет получить сопротивление от 20 до 200 кОм. На пульте управления размещены: кнопки пуска и выключения источника питания, низковольтных выпрямителей, питающих электродвигатели вспомогательного оборудования, понижающего трансформатора, питания двигателя оснастки, координатных устройств регулирования длины струйного электролитического катода, кнопки включения и выключения вентиляторов отсоса паров и газов, сигнальные лампочки.</w:t>
      </w:r>
      <w:r w:rsidRPr="0017655C">
        <w:rPr>
          <w:rFonts w:ascii="Times New Roman" w:hAnsi="Times New Roman" w:cs="Times New Roman"/>
          <w:sz w:val="24"/>
          <w:szCs w:val="24"/>
        </w:rPr>
        <w:br/>
      </w:r>
    </w:p>
    <w:p w:rsidR="0017655C" w:rsidRPr="0017655C" w:rsidRDefault="0017655C" w:rsidP="0017655C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765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628775"/>
            <wp:effectExtent l="19050" t="0" r="0" b="0"/>
            <wp:docPr id="2" name="Рисунок 2" descr="IMG_0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4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55C" w:rsidRPr="0017655C" w:rsidRDefault="0017655C" w:rsidP="0017655C">
      <w:pPr>
        <w:spacing w:line="25" w:lineRule="atLeast"/>
        <w:jc w:val="center"/>
        <w:rPr>
          <w:rFonts w:ascii="Times New Roman" w:hAnsi="Times New Roman" w:cs="Times New Roman"/>
        </w:rPr>
      </w:pPr>
    </w:p>
    <w:p w:rsidR="0017655C" w:rsidRPr="0017655C" w:rsidRDefault="0017655C" w:rsidP="0017655C">
      <w:pPr>
        <w:spacing w:line="25" w:lineRule="atLeast"/>
        <w:jc w:val="center"/>
        <w:rPr>
          <w:rFonts w:ascii="Times New Roman" w:hAnsi="Times New Roman" w:cs="Times New Roman"/>
        </w:rPr>
      </w:pPr>
      <w:r w:rsidRPr="0017655C">
        <w:rPr>
          <w:rFonts w:ascii="Times New Roman" w:hAnsi="Times New Roman" w:cs="Times New Roman"/>
        </w:rPr>
        <w:t>Рисунок 1. Вакуумная экспериментальная установка с разрядной камерой</w:t>
      </w:r>
    </w:p>
    <w:p w:rsidR="003E797F" w:rsidRPr="0017655C" w:rsidRDefault="0020446D" w:rsidP="0017655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55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E797F" w:rsidRPr="0017655C" w:rsidRDefault="003E797F" w:rsidP="0017655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6D" w:rsidRPr="0017655C" w:rsidRDefault="0020446D" w:rsidP="0017655C">
      <w:pPr>
        <w:spacing w:after="0" w:line="25" w:lineRule="atLeast"/>
        <w:rPr>
          <w:rFonts w:ascii="Times New Roman" w:hAnsi="Times New Roman" w:cs="Times New Roman"/>
          <w:i/>
          <w:sz w:val="24"/>
          <w:szCs w:val="24"/>
        </w:rPr>
      </w:pPr>
      <w:r w:rsidRPr="0017655C">
        <w:rPr>
          <w:rFonts w:ascii="Times New Roman" w:hAnsi="Times New Roman" w:cs="Times New Roman"/>
          <w:sz w:val="24"/>
          <w:szCs w:val="24"/>
        </w:rPr>
        <w:t xml:space="preserve">[1]   </w:t>
      </w:r>
      <w:r w:rsidR="00641080" w:rsidRPr="0017655C">
        <w:rPr>
          <w:rFonts w:ascii="Times New Roman" w:hAnsi="Times New Roman" w:cs="Times New Roman"/>
          <w:sz w:val="24"/>
          <w:szCs w:val="24"/>
        </w:rPr>
        <w:t xml:space="preserve">Гайсин Ф.М., Сон Э.Е. </w:t>
      </w:r>
      <w:r w:rsidR="00641080" w:rsidRPr="0017655C">
        <w:rPr>
          <w:rFonts w:ascii="Times New Roman" w:hAnsi="Times New Roman" w:cs="Times New Roman"/>
          <w:i/>
          <w:sz w:val="24"/>
          <w:szCs w:val="24"/>
        </w:rPr>
        <w:t xml:space="preserve">Электрические разряды в парогазовой среде с нетрадиционными электродами // Энциклопедия низкотемпературной плазмы / под ред. </w:t>
      </w:r>
      <w:proofErr w:type="spellStart"/>
      <w:r w:rsidR="00641080" w:rsidRPr="0017655C">
        <w:rPr>
          <w:rFonts w:ascii="Times New Roman" w:hAnsi="Times New Roman" w:cs="Times New Roman"/>
          <w:i/>
          <w:sz w:val="24"/>
          <w:szCs w:val="24"/>
        </w:rPr>
        <w:t>Фортова</w:t>
      </w:r>
      <w:proofErr w:type="spellEnd"/>
      <w:r w:rsidR="00641080" w:rsidRPr="0017655C">
        <w:rPr>
          <w:rFonts w:ascii="Times New Roman" w:hAnsi="Times New Roman" w:cs="Times New Roman"/>
          <w:i/>
          <w:sz w:val="24"/>
          <w:szCs w:val="24"/>
        </w:rPr>
        <w:t xml:space="preserve"> В.Е. М.: Наука, 2000. С. 241.</w:t>
      </w:r>
    </w:p>
    <w:sectPr w:rsidR="0020446D" w:rsidRPr="0017655C" w:rsidSect="00781886">
      <w:pgSz w:w="11906" w:h="16838"/>
      <w:pgMar w:top="1304" w:right="1416" w:bottom="130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92918"/>
    <w:multiLevelType w:val="hybridMultilevel"/>
    <w:tmpl w:val="B8DA0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46D"/>
    <w:rsid w:val="0017655C"/>
    <w:rsid w:val="0020446D"/>
    <w:rsid w:val="003E797F"/>
    <w:rsid w:val="00522CFF"/>
    <w:rsid w:val="005C62A0"/>
    <w:rsid w:val="00641080"/>
    <w:rsid w:val="00681A38"/>
    <w:rsid w:val="006940B0"/>
    <w:rsid w:val="006C1993"/>
    <w:rsid w:val="008441D1"/>
    <w:rsid w:val="00983BE3"/>
    <w:rsid w:val="009A7EAC"/>
    <w:rsid w:val="00BA6B54"/>
    <w:rsid w:val="00C7756A"/>
    <w:rsid w:val="00DD11D0"/>
    <w:rsid w:val="00E0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4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2012-09-17T13:23:00Z</dcterms:created>
  <dcterms:modified xsi:type="dcterms:W3CDTF">2012-09-17T15:07:00Z</dcterms:modified>
</cp:coreProperties>
</file>