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140" w:rsidRPr="00BA230F" w:rsidRDefault="00D87140" w:rsidP="002D5CAA">
      <w:pPr>
        <w:spacing w:line="25" w:lineRule="atLeast"/>
        <w:ind w:firstLine="709"/>
        <w:jc w:val="center"/>
        <w:rPr>
          <w:b/>
        </w:rPr>
      </w:pPr>
      <w:proofErr w:type="gramStart"/>
      <w:r w:rsidRPr="00BA230F">
        <w:rPr>
          <w:b/>
        </w:rPr>
        <w:t>ПЕРЕХОД СТРУЙНОГО МНОГОКАНАЛЬНОГО РАЗРЯДА В ТЛЕЮЩИЙ ПРИ ПОНИЖЕНОМ ДАВЛЕНИИ.</w:t>
      </w:r>
      <w:proofErr w:type="gramEnd"/>
    </w:p>
    <w:p w:rsidR="00D87140" w:rsidRPr="00BA230F" w:rsidRDefault="00D87140" w:rsidP="002D5CAA">
      <w:pPr>
        <w:spacing w:line="25" w:lineRule="atLeast"/>
        <w:ind w:firstLine="709"/>
        <w:jc w:val="center"/>
        <w:rPr>
          <w:b/>
        </w:rPr>
      </w:pPr>
    </w:p>
    <w:p w:rsidR="00D87140" w:rsidRPr="00D74B0D" w:rsidRDefault="00D87140" w:rsidP="002D5CAA">
      <w:pPr>
        <w:spacing w:line="25" w:lineRule="atLeast"/>
        <w:ind w:firstLine="709"/>
        <w:jc w:val="center"/>
        <w:rPr>
          <w:u w:val="single"/>
        </w:rPr>
      </w:pPr>
      <w:r w:rsidRPr="00D74B0D">
        <w:rPr>
          <w:b/>
          <w:u w:val="single"/>
        </w:rPr>
        <w:t xml:space="preserve">Н.А. Логинов </w:t>
      </w:r>
    </w:p>
    <w:p w:rsidR="00D87140" w:rsidRPr="00BA230F" w:rsidRDefault="00D87140" w:rsidP="002D5CAA">
      <w:pPr>
        <w:spacing w:line="25" w:lineRule="atLeast"/>
        <w:ind w:firstLine="709"/>
        <w:jc w:val="center"/>
      </w:pPr>
    </w:p>
    <w:p w:rsidR="00D87140" w:rsidRPr="00BA230F" w:rsidRDefault="00D87140" w:rsidP="002D5CAA">
      <w:pPr>
        <w:spacing w:line="25" w:lineRule="atLeast"/>
        <w:jc w:val="center"/>
      </w:pPr>
      <w:r w:rsidRPr="00BA230F">
        <w:t>Казанский Государственный Технический Университет им. А.Н. Туполева, 420111, Россия, г</w:t>
      </w:r>
      <w:proofErr w:type="gramStart"/>
      <w:r w:rsidRPr="00BA230F">
        <w:t>.К</w:t>
      </w:r>
      <w:proofErr w:type="gramEnd"/>
      <w:r w:rsidRPr="00BA230F">
        <w:t>азань,  ул.Карла Маркса 10</w:t>
      </w:r>
    </w:p>
    <w:p w:rsidR="00D87140" w:rsidRPr="00BA230F" w:rsidRDefault="00D87140" w:rsidP="002D5CAA">
      <w:pPr>
        <w:spacing w:line="25" w:lineRule="atLeast"/>
        <w:jc w:val="center"/>
      </w:pPr>
    </w:p>
    <w:p w:rsidR="00D87140" w:rsidRDefault="00D87140" w:rsidP="002D5CAA">
      <w:pPr>
        <w:spacing w:line="25" w:lineRule="atLeast"/>
        <w:ind w:firstLine="709"/>
        <w:jc w:val="both"/>
      </w:pPr>
      <w:r w:rsidRPr="00BA230F">
        <w:t xml:space="preserve">В настоящее время тлеющий разряд между твердыми электродами исследован в широком диапазоне параметров. Результаты исследования нашли широкие применения на практике </w:t>
      </w:r>
      <w:r w:rsidRPr="00BA230F">
        <w:sym w:font="Symbol" w:char="F05B"/>
      </w:r>
      <w:r w:rsidRPr="00BA230F">
        <w:t xml:space="preserve">1,2 и </w:t>
      </w:r>
      <w:proofErr w:type="spellStart"/>
      <w:r w:rsidRPr="00BA230F">
        <w:t>др</w:t>
      </w:r>
      <w:proofErr w:type="spellEnd"/>
      <w:r w:rsidRPr="00BA230F">
        <w:sym w:font="Symbol" w:char="F05D"/>
      </w:r>
      <w:r w:rsidRPr="00BA230F">
        <w:t>. Однако как экспериментальные, так и теоретические исследования тлеющего разряда между твердым и жидким электродами очень мало. Исследование тлеющего разряда в случаях, когда один из электродов струя или капля электролита практически отсутствуют. В данной работе впервые исследован переход многоканального разряда (МР) в тлеющий разряд (ТР) в диапазоне Р=0,1</w:t>
      </w:r>
      <w:r w:rsidRPr="00BA230F">
        <w:sym w:font="Symbol" w:char="F0D7"/>
      </w:r>
      <w:r w:rsidRPr="00BA230F">
        <w:t>10</w:t>
      </w:r>
      <w:r w:rsidRPr="00BA230F">
        <w:rPr>
          <w:vertAlign w:val="superscript"/>
        </w:rPr>
        <w:t>4</w:t>
      </w:r>
      <w:r w:rsidRPr="00BA230F">
        <w:t xml:space="preserve"> </w:t>
      </w:r>
      <w:r w:rsidRPr="00BA230F">
        <w:sym w:font="Symbol" w:char="F0B8"/>
      </w:r>
      <w:r w:rsidRPr="00BA230F">
        <w:t>9,8</w:t>
      </w:r>
      <w:r w:rsidRPr="00BA230F">
        <w:sym w:font="Symbol" w:char="F0D7"/>
      </w:r>
      <w:r w:rsidRPr="00BA230F">
        <w:t>10</w:t>
      </w:r>
      <w:r w:rsidRPr="00BA230F">
        <w:rPr>
          <w:vertAlign w:val="superscript"/>
        </w:rPr>
        <w:t>4</w:t>
      </w:r>
      <w:r w:rsidRPr="00BA230F">
        <w:t xml:space="preserve"> Па при напряжении </w:t>
      </w:r>
      <w:r w:rsidRPr="00BA230F">
        <w:rPr>
          <w:lang w:val="en-US"/>
        </w:rPr>
        <w:t>U</w:t>
      </w:r>
      <w:r w:rsidRPr="00BA230F">
        <w:t>=249-800</w:t>
      </w:r>
      <w:proofErr w:type="gramStart"/>
      <w:r w:rsidRPr="00BA230F">
        <w:t xml:space="preserve"> В</w:t>
      </w:r>
      <w:proofErr w:type="gramEnd"/>
      <w:r w:rsidRPr="00BA230F">
        <w:t xml:space="preserve"> и токе разряда </w:t>
      </w:r>
      <w:r w:rsidRPr="00BA230F">
        <w:rPr>
          <w:lang w:val="en-US"/>
        </w:rPr>
        <w:t>I</w:t>
      </w:r>
      <w:r w:rsidRPr="00BA230F">
        <w:t xml:space="preserve">=0,45 </w:t>
      </w:r>
      <w:proofErr w:type="spellStart"/>
      <w:r w:rsidRPr="00BA230F">
        <w:rPr>
          <w:lang w:val="en-US"/>
        </w:rPr>
        <w:t>mA</w:t>
      </w:r>
      <w:proofErr w:type="spellEnd"/>
      <w:r w:rsidRPr="00BA230F">
        <w:t>.</w:t>
      </w:r>
    </w:p>
    <w:p w:rsidR="00BA230F" w:rsidRPr="00BA230F" w:rsidRDefault="00BA230F" w:rsidP="002D5CAA">
      <w:pPr>
        <w:spacing w:line="25" w:lineRule="atLeast"/>
        <w:ind w:firstLine="709"/>
        <w:jc w:val="both"/>
      </w:pP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  <w:r w:rsidRPr="00BA230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12065</wp:posOffset>
            </wp:positionV>
            <wp:extent cx="4975225" cy="2044065"/>
            <wp:effectExtent l="19050" t="0" r="0" b="0"/>
            <wp:wrapTight wrapText="bothSides">
              <wp:wrapPolygon edited="0">
                <wp:start x="-83" y="0"/>
                <wp:lineTo x="-83" y="21338"/>
                <wp:lineTo x="21586" y="21338"/>
                <wp:lineTo x="21586" y="0"/>
                <wp:lineTo x="-83" y="0"/>
              </wp:wrapPolygon>
            </wp:wrapTight>
            <wp:docPr id="6" name="Рисунок 6" descr="в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в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5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</w:p>
    <w:p w:rsidR="00D87140" w:rsidRPr="00BA230F" w:rsidRDefault="00D87140" w:rsidP="002D5CAA">
      <w:pPr>
        <w:spacing w:line="25" w:lineRule="atLeast"/>
        <w:ind w:firstLine="709"/>
        <w:jc w:val="both"/>
        <w:rPr>
          <w:noProof/>
        </w:rPr>
      </w:pPr>
      <w:r w:rsidRPr="00BA230F">
        <w:rPr>
          <w:noProof/>
        </w:rPr>
        <w:t xml:space="preserve">       </w:t>
      </w: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D87140" w:rsidP="002D5CAA">
      <w:pPr>
        <w:tabs>
          <w:tab w:val="left" w:pos="465"/>
        </w:tabs>
        <w:spacing w:line="25" w:lineRule="atLeast"/>
        <w:jc w:val="center"/>
        <w:rPr>
          <w:noProof/>
        </w:rPr>
      </w:pPr>
      <w:r w:rsidRPr="00BA230F">
        <w:rPr>
          <w:noProof/>
        </w:rPr>
        <w:t xml:space="preserve">а) МР -  </w:t>
      </w:r>
      <w:r w:rsidRPr="00BA230F">
        <w:rPr>
          <w:i/>
          <w:noProof/>
          <w:lang w:val="en-US"/>
        </w:rPr>
        <w:t>l</w:t>
      </w:r>
      <w:r w:rsidRPr="00BA230F">
        <w:rPr>
          <w:noProof/>
        </w:rPr>
        <w:t xml:space="preserve">= 10мм; </w:t>
      </w:r>
      <w:r w:rsidRPr="00BA230F">
        <w:rPr>
          <w:noProof/>
          <w:lang w:val="en-US"/>
        </w:rPr>
        <w:t>G</w:t>
      </w:r>
      <w:r w:rsidRPr="00BA230F">
        <w:rPr>
          <w:noProof/>
        </w:rPr>
        <w:t>=0,5 г</w:t>
      </w:r>
      <w:r w:rsidRPr="00BA230F">
        <w:rPr>
          <w:noProof/>
        </w:rPr>
        <w:sym w:font="Symbol" w:char="F02F"/>
      </w:r>
      <w:r w:rsidRPr="00BA230F">
        <w:rPr>
          <w:noProof/>
        </w:rPr>
        <w:t>с ; Р= 4,9</w:t>
      </w:r>
      <w:r w:rsidRPr="00BA230F">
        <w:rPr>
          <w:noProof/>
        </w:rPr>
        <w:sym w:font="Symbol" w:char="F0D7"/>
      </w:r>
      <w:r w:rsidRPr="00BA230F">
        <w:rPr>
          <w:noProof/>
        </w:rPr>
        <w:t>10</w:t>
      </w:r>
      <w:r w:rsidRPr="00BA230F">
        <w:rPr>
          <w:noProof/>
          <w:vertAlign w:val="superscript"/>
        </w:rPr>
        <w:t>4</w:t>
      </w: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-2540</wp:posOffset>
            </wp:positionV>
            <wp:extent cx="5023485" cy="2475230"/>
            <wp:effectExtent l="19050" t="0" r="5715" b="0"/>
            <wp:wrapSquare wrapText="bothSides"/>
            <wp:docPr id="7" name="Рисунок 7" descr="о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о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47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D87140" w:rsidP="002D5CAA">
      <w:pPr>
        <w:tabs>
          <w:tab w:val="left" w:pos="465"/>
        </w:tabs>
        <w:spacing w:line="25" w:lineRule="atLeast"/>
        <w:jc w:val="both"/>
        <w:rPr>
          <w:noProof/>
        </w:rPr>
      </w:pPr>
      <w:r w:rsidRPr="00BA230F">
        <w:rPr>
          <w:noProof/>
        </w:rPr>
        <w:t xml:space="preserve">      </w:t>
      </w: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both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2D5CAA" w:rsidRDefault="002D5CAA" w:rsidP="002D5CAA">
      <w:pPr>
        <w:tabs>
          <w:tab w:val="left" w:pos="465"/>
        </w:tabs>
        <w:spacing w:line="25" w:lineRule="atLeast"/>
        <w:jc w:val="center"/>
        <w:rPr>
          <w:noProof/>
        </w:rPr>
      </w:pPr>
    </w:p>
    <w:p w:rsidR="00D87140" w:rsidRPr="00BA230F" w:rsidRDefault="00D87140" w:rsidP="002D5CAA">
      <w:pPr>
        <w:tabs>
          <w:tab w:val="left" w:pos="465"/>
        </w:tabs>
        <w:spacing w:line="25" w:lineRule="atLeast"/>
        <w:jc w:val="center"/>
      </w:pPr>
      <w:r w:rsidRPr="00BA230F">
        <w:rPr>
          <w:noProof/>
        </w:rPr>
        <w:t xml:space="preserve">б) МР -  </w:t>
      </w:r>
      <w:r w:rsidRPr="00BA230F">
        <w:rPr>
          <w:i/>
          <w:noProof/>
          <w:lang w:val="en-US"/>
        </w:rPr>
        <w:t>l</w:t>
      </w:r>
      <w:r w:rsidRPr="00BA230F">
        <w:rPr>
          <w:i/>
          <w:noProof/>
        </w:rPr>
        <w:t>=</w:t>
      </w:r>
      <w:r w:rsidRPr="00BA230F">
        <w:rPr>
          <w:noProof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Pr="00BA230F">
          <w:rPr>
            <w:noProof/>
          </w:rPr>
          <w:t>10 мм</w:t>
        </w:r>
      </w:smartTag>
      <w:r w:rsidRPr="00BA230F">
        <w:rPr>
          <w:noProof/>
        </w:rPr>
        <w:t xml:space="preserve">; </w:t>
      </w:r>
      <w:r w:rsidRPr="00BA230F">
        <w:rPr>
          <w:noProof/>
          <w:lang w:val="en-US"/>
        </w:rPr>
        <w:t>G</w:t>
      </w:r>
      <w:r w:rsidRPr="00BA230F">
        <w:rPr>
          <w:noProof/>
        </w:rPr>
        <w:t>=0,5 г/с; Р=5,8</w:t>
      </w:r>
      <w:r w:rsidRPr="00BA230F">
        <w:rPr>
          <w:noProof/>
        </w:rPr>
        <w:sym w:font="Symbol" w:char="F0D7"/>
      </w:r>
      <w:r w:rsidRPr="00BA230F">
        <w:rPr>
          <w:noProof/>
        </w:rPr>
        <w:t>10</w:t>
      </w:r>
      <w:r w:rsidRPr="00BA230F">
        <w:rPr>
          <w:noProof/>
          <w:vertAlign w:val="superscript"/>
        </w:rPr>
        <w:t xml:space="preserve">4 </w:t>
      </w:r>
      <w:r w:rsidRPr="00BA230F">
        <w:rPr>
          <w:noProof/>
        </w:rPr>
        <w:t>Па</w:t>
      </w:r>
    </w:p>
    <w:p w:rsidR="002D5CAA" w:rsidRDefault="002D5CAA" w:rsidP="002D5CAA">
      <w:pPr>
        <w:spacing w:line="25" w:lineRule="atLeast"/>
        <w:jc w:val="both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49530</wp:posOffset>
            </wp:positionV>
            <wp:extent cx="2279650" cy="1750695"/>
            <wp:effectExtent l="19050" t="0" r="6350" b="0"/>
            <wp:wrapSquare wrapText="bothSides"/>
            <wp:docPr id="9" name="Рисунок 9" descr="лл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л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140" w:rsidRPr="00BA230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49530</wp:posOffset>
            </wp:positionV>
            <wp:extent cx="2286635" cy="1790700"/>
            <wp:effectExtent l="19050" t="0" r="0" b="0"/>
            <wp:wrapSquare wrapText="bothSides"/>
            <wp:docPr id="8" name="Рисунок 8" descr="д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д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7140" w:rsidRPr="00BA230F">
        <w:t xml:space="preserve">      </w:t>
      </w:r>
      <w:r>
        <w:t xml:space="preserve"> </w:t>
      </w:r>
      <w:r w:rsidR="00D87140" w:rsidRPr="00BA230F">
        <w:t xml:space="preserve">                  </w:t>
      </w:r>
    </w:p>
    <w:p w:rsidR="002D5CAA" w:rsidRPr="00BA230F" w:rsidRDefault="002D5CAA" w:rsidP="002D5CAA">
      <w:pPr>
        <w:spacing w:line="25" w:lineRule="atLeast"/>
        <w:jc w:val="both"/>
        <w:rPr>
          <w:noProof/>
        </w:rPr>
      </w:pPr>
      <w:r>
        <w:t xml:space="preserve">в) переход МР в </w:t>
      </w:r>
      <w:proofErr w:type="gramStart"/>
      <w:r>
        <w:t>ТР</w:t>
      </w:r>
      <w:proofErr w:type="gramEnd"/>
      <w:r>
        <w:t xml:space="preserve"> при                                          </w:t>
      </w:r>
      <w:r w:rsidRPr="00BA230F">
        <w:t xml:space="preserve">г) ТР - при </w:t>
      </w:r>
      <w:r w:rsidRPr="00BA230F">
        <w:rPr>
          <w:i/>
          <w:lang w:val="en-US"/>
        </w:rPr>
        <w:t>l</w:t>
      </w:r>
      <w:r w:rsidRPr="00BA230F">
        <w:rPr>
          <w:i/>
        </w:rPr>
        <w:t>=</w:t>
      </w:r>
      <w:r w:rsidRPr="00BA230F">
        <w:t xml:space="preserve">10мм; </w:t>
      </w:r>
      <w:r w:rsidRPr="00BA230F">
        <w:rPr>
          <w:lang w:val="en-US"/>
        </w:rPr>
        <w:t>G</w:t>
      </w:r>
      <w:r w:rsidRPr="00BA230F">
        <w:t>=0,5 г</w:t>
      </w:r>
      <w:r w:rsidRPr="00BA230F">
        <w:sym w:font="Symbol" w:char="F02F"/>
      </w:r>
      <w:r w:rsidRPr="00BA230F">
        <w:t xml:space="preserve">с;  </w:t>
      </w:r>
      <w:r w:rsidRPr="00BA230F">
        <w:rPr>
          <w:i/>
          <w:lang w:val="en-US"/>
        </w:rPr>
        <w:t>l</w:t>
      </w:r>
      <w:r w:rsidRPr="00BA230F">
        <w:t xml:space="preserve">=10 мм; </w:t>
      </w:r>
      <w:r w:rsidRPr="00BA230F">
        <w:rPr>
          <w:lang w:val="en-US"/>
        </w:rPr>
        <w:t>G</w:t>
      </w:r>
      <w:r w:rsidRPr="00BA230F">
        <w:t>=0,5 г</w:t>
      </w:r>
      <w:r w:rsidRPr="00BA230F">
        <w:sym w:font="Symbol" w:char="F02F"/>
      </w:r>
      <w:r w:rsidRPr="00BA230F">
        <w:t>с; Р=6,8</w:t>
      </w:r>
      <w:r w:rsidRPr="00BA230F">
        <w:sym w:font="Symbol" w:char="F0D7"/>
      </w:r>
      <w:r w:rsidRPr="00BA230F">
        <w:t>10</w:t>
      </w:r>
      <w:r w:rsidRPr="00BA230F">
        <w:rPr>
          <w:vertAlign w:val="superscript"/>
        </w:rPr>
        <w:t>4</w:t>
      </w:r>
      <w:r w:rsidRPr="00BA230F">
        <w:t xml:space="preserve"> </w:t>
      </w:r>
      <w:r>
        <w:t xml:space="preserve">                                           </w:t>
      </w:r>
      <w:r w:rsidRPr="00BA230F">
        <w:t>Р=7,8</w:t>
      </w:r>
      <w:r w:rsidRPr="00BA230F">
        <w:sym w:font="Symbol" w:char="F0D7"/>
      </w:r>
      <w:r w:rsidRPr="00BA230F">
        <w:t>10</w:t>
      </w:r>
      <w:r w:rsidRPr="00BA230F">
        <w:rPr>
          <w:vertAlign w:val="superscript"/>
        </w:rPr>
        <w:t>4</w:t>
      </w:r>
      <w:r w:rsidRPr="00BA230F">
        <w:t xml:space="preserve"> Па    </w:t>
      </w:r>
    </w:p>
    <w:p w:rsidR="002D5CAA" w:rsidRDefault="002D5CAA" w:rsidP="002D5CAA">
      <w:pPr>
        <w:tabs>
          <w:tab w:val="left" w:pos="3465"/>
        </w:tabs>
        <w:spacing w:line="25" w:lineRule="atLeast"/>
        <w:ind w:firstLine="709"/>
        <w:jc w:val="both"/>
      </w:pPr>
    </w:p>
    <w:p w:rsidR="002D5CAA" w:rsidRPr="00BA230F" w:rsidRDefault="002D5CAA" w:rsidP="002D5CAA">
      <w:pPr>
        <w:tabs>
          <w:tab w:val="left" w:pos="3465"/>
        </w:tabs>
        <w:spacing w:line="25" w:lineRule="atLeast"/>
        <w:ind w:firstLine="709"/>
        <w:jc w:val="both"/>
      </w:pPr>
    </w:p>
    <w:p w:rsidR="00D87140" w:rsidRPr="00BA230F" w:rsidRDefault="00D87140" w:rsidP="002D5CAA">
      <w:pPr>
        <w:tabs>
          <w:tab w:val="left" w:pos="3465"/>
        </w:tabs>
        <w:spacing w:line="25" w:lineRule="atLeast"/>
        <w:ind w:firstLine="709"/>
        <w:jc w:val="both"/>
      </w:pPr>
      <w:r w:rsidRPr="00BA230F">
        <w:t xml:space="preserve">Рис.1 Фотографии перехода многоканального разряда </w:t>
      </w:r>
      <w:proofErr w:type="gramStart"/>
      <w:r w:rsidRPr="00BA230F">
        <w:t>в</w:t>
      </w:r>
      <w:proofErr w:type="gramEnd"/>
      <w:r w:rsidRPr="00BA230F">
        <w:t xml:space="preserve"> тлеющий при пониженном давлении</w:t>
      </w:r>
    </w:p>
    <w:p w:rsidR="00D87140" w:rsidRPr="00BA230F" w:rsidRDefault="00D87140" w:rsidP="002D5CAA">
      <w:pPr>
        <w:spacing w:line="25" w:lineRule="atLeast"/>
        <w:ind w:firstLine="709"/>
        <w:jc w:val="both"/>
      </w:pPr>
    </w:p>
    <w:p w:rsidR="00D87140" w:rsidRPr="00BA230F" w:rsidRDefault="00D87140" w:rsidP="002D5CAA">
      <w:pPr>
        <w:spacing w:line="25" w:lineRule="atLeast"/>
        <w:ind w:firstLine="709"/>
        <w:jc w:val="both"/>
      </w:pPr>
      <w:r w:rsidRPr="00BA230F">
        <w:rPr>
          <w:noProof/>
        </w:rPr>
        <w:drawing>
          <wp:inline distT="0" distB="0" distL="0" distR="0">
            <wp:extent cx="4796525" cy="2104845"/>
            <wp:effectExtent l="19050" t="0" r="407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210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140" w:rsidRPr="00BA230F" w:rsidRDefault="00D87140" w:rsidP="002D5CAA">
      <w:pPr>
        <w:spacing w:line="25" w:lineRule="atLeast"/>
        <w:ind w:firstLine="709"/>
        <w:jc w:val="both"/>
      </w:pPr>
    </w:p>
    <w:p w:rsidR="00D87140" w:rsidRPr="00BA230F" w:rsidRDefault="00D87140" w:rsidP="002D5CAA">
      <w:pPr>
        <w:spacing w:line="25" w:lineRule="atLeast"/>
        <w:ind w:firstLine="709"/>
        <w:jc w:val="both"/>
      </w:pPr>
      <w:r w:rsidRPr="00BA230F">
        <w:t>Рис.2 ВАХ перехода многоканального разряда в тлеющий разряд</w:t>
      </w:r>
    </w:p>
    <w:p w:rsidR="00D87140" w:rsidRPr="00BA230F" w:rsidRDefault="00D87140" w:rsidP="002D5CAA">
      <w:pPr>
        <w:spacing w:line="25" w:lineRule="atLeast"/>
        <w:ind w:firstLine="709"/>
        <w:jc w:val="both"/>
      </w:pPr>
    </w:p>
    <w:p w:rsidR="00D87140" w:rsidRPr="00BA230F" w:rsidRDefault="00D87140" w:rsidP="002D5CAA">
      <w:pPr>
        <w:spacing w:line="25" w:lineRule="atLeast"/>
        <w:ind w:firstLine="709"/>
        <w:jc w:val="both"/>
      </w:pPr>
      <w:r w:rsidRPr="00BA230F">
        <w:t xml:space="preserve">На рис.2 </w:t>
      </w:r>
      <w:proofErr w:type="gramStart"/>
      <w:r w:rsidRPr="00BA230F">
        <w:t>представлена</w:t>
      </w:r>
      <w:proofErr w:type="gramEnd"/>
      <w:r w:rsidRPr="00BA230F">
        <w:t xml:space="preserve"> ВАХ перехода МР в ТР. Также изображены интервалы перехода многоканального разряда в тлеющий при пониженном давлении. В интервале </w:t>
      </w:r>
      <w:r w:rsidRPr="00BA230F">
        <w:rPr>
          <w:lang w:val="en-US"/>
        </w:rPr>
        <w:t>I</w:t>
      </w:r>
      <w:r w:rsidRPr="00BA230F">
        <w:t xml:space="preserve"> от 0,02  до 0,23</w:t>
      </w:r>
      <w:proofErr w:type="gramStart"/>
      <w:r w:rsidRPr="00BA230F">
        <w:t>А</w:t>
      </w:r>
      <w:proofErr w:type="gramEnd"/>
      <w:r w:rsidRPr="00BA230F">
        <w:t xml:space="preserve"> горит МР (фотографии рис.1а и в). С дальнейшим ростом тока </w:t>
      </w:r>
      <w:r w:rsidRPr="00BA230F">
        <w:rPr>
          <w:lang w:val="en-US"/>
        </w:rPr>
        <w:t>I</w:t>
      </w:r>
      <w:r w:rsidRPr="00BA230F">
        <w:t xml:space="preserve"> от 0,23 до 0,32А происходит переход МР в </w:t>
      </w:r>
      <w:proofErr w:type="gramStart"/>
      <w:r w:rsidRPr="00BA230F">
        <w:t>ТР</w:t>
      </w:r>
      <w:proofErr w:type="gramEnd"/>
      <w:r w:rsidRPr="00BA230F">
        <w:t xml:space="preserve"> (фотография. рис.1в). Если еще больше увеличить ток </w:t>
      </w:r>
      <w:r w:rsidRPr="00BA230F">
        <w:rPr>
          <w:lang w:val="en-US"/>
        </w:rPr>
        <w:t>I</w:t>
      </w:r>
      <w:r w:rsidRPr="00BA230F">
        <w:t xml:space="preserve">=0,4 </w:t>
      </w:r>
      <w:proofErr w:type="spellStart"/>
      <w:r w:rsidRPr="00BA230F">
        <w:rPr>
          <w:lang w:val="en-US"/>
        </w:rPr>
        <w:t>mA</w:t>
      </w:r>
      <w:proofErr w:type="spellEnd"/>
      <w:r w:rsidRPr="00BA230F">
        <w:t xml:space="preserve">, устойчиво горит </w:t>
      </w:r>
      <w:proofErr w:type="gramStart"/>
      <w:r w:rsidRPr="00BA230F">
        <w:t>ТР</w:t>
      </w:r>
      <w:proofErr w:type="gramEnd"/>
      <w:r w:rsidRPr="00BA230F">
        <w:t xml:space="preserve"> (фотография рис.1г)</w:t>
      </w:r>
    </w:p>
    <w:p w:rsidR="00D87140" w:rsidRPr="00BA230F" w:rsidRDefault="00D87140" w:rsidP="002D5CAA">
      <w:pPr>
        <w:tabs>
          <w:tab w:val="left" w:pos="3465"/>
        </w:tabs>
        <w:spacing w:line="25" w:lineRule="atLeast"/>
        <w:ind w:firstLine="709"/>
        <w:jc w:val="both"/>
      </w:pPr>
    </w:p>
    <w:p w:rsidR="00BA230F" w:rsidRPr="00BA230F" w:rsidRDefault="00BA230F" w:rsidP="002D5CAA">
      <w:pPr>
        <w:spacing w:line="25" w:lineRule="atLeast"/>
        <w:ind w:firstLine="709"/>
        <w:jc w:val="center"/>
        <w:rPr>
          <w:b/>
        </w:rPr>
      </w:pPr>
      <w:r w:rsidRPr="00BA230F">
        <w:rPr>
          <w:b/>
        </w:rPr>
        <w:t>ЛИТЕРАТУРА</w:t>
      </w:r>
    </w:p>
    <w:p w:rsidR="00BA230F" w:rsidRDefault="00BA230F" w:rsidP="002D5CAA">
      <w:pPr>
        <w:spacing w:line="25" w:lineRule="atLeast"/>
        <w:ind w:firstLine="709"/>
        <w:jc w:val="both"/>
      </w:pPr>
    </w:p>
    <w:p w:rsidR="00D87140" w:rsidRPr="00BA230F" w:rsidRDefault="00BA230F" w:rsidP="002D5CAA">
      <w:pPr>
        <w:spacing w:line="25" w:lineRule="atLeast"/>
        <w:ind w:firstLine="709"/>
        <w:jc w:val="both"/>
      </w:pPr>
      <w:r w:rsidRPr="00BA230F">
        <w:t xml:space="preserve"> </w:t>
      </w:r>
      <w:r w:rsidR="00D87140" w:rsidRPr="00BA230F">
        <w:t xml:space="preserve">[1]  Грановский  В.Л. </w:t>
      </w:r>
      <w:r w:rsidR="00D87140" w:rsidRPr="00BA230F">
        <w:rPr>
          <w:i/>
        </w:rPr>
        <w:t>Электрический ток в газе  установившийся ток</w:t>
      </w:r>
      <w:r w:rsidR="00D87140" w:rsidRPr="00BA230F">
        <w:t xml:space="preserve">. М. Наука 1971 – 544 </w:t>
      </w:r>
      <w:proofErr w:type="gramStart"/>
      <w:r w:rsidR="00D87140" w:rsidRPr="00BA230F">
        <w:t>с</w:t>
      </w:r>
      <w:proofErr w:type="gramEnd"/>
      <w:r w:rsidR="00D87140" w:rsidRPr="00BA230F">
        <w:t>.</w:t>
      </w:r>
    </w:p>
    <w:p w:rsidR="00D87140" w:rsidRPr="00BA230F" w:rsidRDefault="00D87140" w:rsidP="002D5CAA">
      <w:pPr>
        <w:spacing w:line="25" w:lineRule="atLeast"/>
        <w:ind w:firstLine="709"/>
        <w:jc w:val="both"/>
      </w:pPr>
      <w:r w:rsidRPr="00BA230F">
        <w:t xml:space="preserve">[2]  </w:t>
      </w:r>
      <w:proofErr w:type="spellStart"/>
      <w:r w:rsidRPr="00BA230F">
        <w:t>Райзер</w:t>
      </w:r>
      <w:proofErr w:type="spellEnd"/>
      <w:r w:rsidRPr="00BA230F">
        <w:t xml:space="preserve"> Ю.</w:t>
      </w:r>
      <w:proofErr w:type="gramStart"/>
      <w:r w:rsidRPr="00BA230F">
        <w:t>П</w:t>
      </w:r>
      <w:proofErr w:type="gramEnd"/>
      <w:r w:rsidRPr="00BA230F">
        <w:t xml:space="preserve"> </w:t>
      </w:r>
      <w:r w:rsidRPr="00BA230F">
        <w:rPr>
          <w:i/>
        </w:rPr>
        <w:t>Физика газового разряда</w:t>
      </w:r>
      <w:r w:rsidRPr="00BA230F">
        <w:t xml:space="preserve">. – М.: Наука, 1987. – 591 </w:t>
      </w:r>
      <w:proofErr w:type="gramStart"/>
      <w:r w:rsidRPr="00BA230F">
        <w:t>с</w:t>
      </w:r>
      <w:proofErr w:type="gramEnd"/>
      <w:r w:rsidRPr="00BA230F">
        <w:t xml:space="preserve">.   </w:t>
      </w:r>
    </w:p>
    <w:p w:rsidR="001E7A29" w:rsidRPr="00BA230F" w:rsidRDefault="001E7A29" w:rsidP="002D5CAA">
      <w:pPr>
        <w:spacing w:line="25" w:lineRule="atLeast"/>
        <w:ind w:firstLine="709"/>
      </w:pPr>
    </w:p>
    <w:sectPr w:rsidR="001E7A29" w:rsidRPr="00BA230F" w:rsidSect="001E7A29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7140"/>
    <w:rsid w:val="001E7A29"/>
    <w:rsid w:val="002921F0"/>
    <w:rsid w:val="002D5CAA"/>
    <w:rsid w:val="0039127F"/>
    <w:rsid w:val="005B715F"/>
    <w:rsid w:val="00BA230F"/>
    <w:rsid w:val="00BB5988"/>
    <w:rsid w:val="00D140E1"/>
    <w:rsid w:val="00D74B0D"/>
    <w:rsid w:val="00D8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1582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2011-02-21T08:30:00Z</dcterms:created>
  <dcterms:modified xsi:type="dcterms:W3CDTF">2011-03-05T10:05:00Z</dcterms:modified>
</cp:coreProperties>
</file>